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700" w:lineRule="exact"/>
        <w:textAlignment w:val="baseline"/>
        <w:rPr>
          <w:u w:val="none" w:color="auto"/>
        </w:r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spacing w:val="0"/>
          <w:sz w:val="44"/>
          <w:szCs w:val="44"/>
          <w:u w:val="none" w:color="auto"/>
        </w:rPr>
      </w:pPr>
      <w:r>
        <w:rPr>
          <w:rFonts w:hint="eastAsia" w:ascii="方正小标宋简体" w:hAnsi="方正小标宋简体" w:eastAsia="方正小标宋简体" w:cs="方正小标宋简体"/>
          <w:spacing w:val="0"/>
          <w:sz w:val="44"/>
          <w:szCs w:val="44"/>
          <w:u w:val="none" w:color="auto"/>
        </w:rPr>
        <w:t>临夏回族自治州人民政府</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ascii="方正小标宋简体" w:hAnsi="方正小标宋简体" w:eastAsia="方正小标宋简体" w:cs="方正小标宋简体"/>
          <w:spacing w:val="0"/>
          <w:sz w:val="44"/>
          <w:szCs w:val="44"/>
          <w:u w:val="none" w:color="auto"/>
        </w:rPr>
      </w:pPr>
      <w:r>
        <w:rPr>
          <w:rFonts w:hint="eastAsia" w:ascii="方正小标宋简体" w:hAnsi="方正小标宋简体" w:eastAsia="方正小标宋简体" w:cs="方正小标宋简体"/>
          <w:spacing w:val="0"/>
          <w:sz w:val="44"/>
          <w:szCs w:val="44"/>
        </w:rPr>
        <w:t>关于节水项目政府与企业合作</w:t>
      </w:r>
      <w:r>
        <w:rPr>
          <w:rFonts w:hint="eastAsia" w:ascii="方正小标宋简体" w:hAnsi="方正小标宋简体" w:eastAsia="方正小标宋简体" w:cs="方正小标宋简体"/>
          <w:spacing w:val="0"/>
          <w:sz w:val="44"/>
          <w:szCs w:val="44"/>
          <w:lang w:eastAsia="zh-CN"/>
        </w:rPr>
        <w:t>的意见</w:t>
      </w:r>
    </w:p>
    <w:p>
      <w:pPr>
        <w:pStyle w:val="2"/>
        <w:ind w:left="0" w:leftChars="0" w:firstLine="0" w:firstLineChars="0"/>
        <w:jc w:val="both"/>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40"/>
          <w:lang w:eastAsia="zh-CN"/>
        </w:rPr>
      </w:pPr>
      <w:r>
        <w:rPr>
          <w:rFonts w:hint="eastAsia" w:ascii="仿宋" w:hAnsi="仿宋" w:eastAsia="仿宋" w:cs="仿宋"/>
          <w:sz w:val="32"/>
          <w:szCs w:val="40"/>
          <w:lang w:eastAsia="zh-CN"/>
        </w:rPr>
        <w:t>各县市人民政府，州直有关单位：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lang w:eastAsia="zh-CN"/>
        </w:rPr>
      </w:pPr>
      <w:r>
        <w:rPr>
          <w:rFonts w:hint="eastAsia" w:ascii="仿宋" w:hAnsi="仿宋" w:eastAsia="仿宋" w:cs="仿宋"/>
          <w:sz w:val="32"/>
          <w:szCs w:val="40"/>
          <w:lang w:eastAsia="zh-CN"/>
        </w:rPr>
        <w:t>为了提高</w:t>
      </w:r>
      <w:r>
        <w:rPr>
          <w:rFonts w:hint="eastAsia" w:ascii="仿宋" w:hAnsi="仿宋" w:eastAsia="仿宋" w:cs="仿宋"/>
          <w:sz w:val="32"/>
          <w:szCs w:val="40"/>
        </w:rPr>
        <w:t>用水效率，促进节水</w:t>
      </w:r>
      <w:r>
        <w:rPr>
          <w:rFonts w:hint="eastAsia" w:ascii="仿宋" w:hAnsi="仿宋" w:eastAsia="仿宋" w:cs="仿宋"/>
          <w:sz w:val="32"/>
          <w:szCs w:val="40"/>
          <w:lang w:eastAsia="zh-CN"/>
        </w:rPr>
        <w:t>产业</w:t>
      </w:r>
      <w:r>
        <w:rPr>
          <w:rFonts w:hint="eastAsia" w:ascii="仿宋" w:hAnsi="仿宋" w:eastAsia="仿宋" w:cs="仿宋"/>
          <w:sz w:val="32"/>
          <w:szCs w:val="40"/>
        </w:rPr>
        <w:t>发展，加快节水型社会建设</w:t>
      </w:r>
      <w:r>
        <w:rPr>
          <w:rFonts w:hint="eastAsia" w:ascii="仿宋" w:hAnsi="仿宋" w:eastAsia="仿宋" w:cs="仿宋"/>
          <w:sz w:val="32"/>
          <w:szCs w:val="40"/>
          <w:lang w:eastAsia="zh-CN"/>
        </w:rPr>
        <w:t>，实现水资源可持续利用。现结合我州实际，就进一步加强</w:t>
      </w:r>
      <w:r>
        <w:rPr>
          <w:rFonts w:hint="eastAsia" w:ascii="仿宋" w:hAnsi="仿宋" w:eastAsia="仿宋" w:cs="仿宋"/>
          <w:sz w:val="32"/>
          <w:szCs w:val="40"/>
        </w:rPr>
        <w:t>节水项目政府与企业合作</w:t>
      </w:r>
      <w:r>
        <w:rPr>
          <w:rFonts w:hint="eastAsia" w:ascii="仿宋" w:hAnsi="仿宋" w:eastAsia="仿宋" w:cs="仿宋"/>
          <w:sz w:val="32"/>
          <w:szCs w:val="40"/>
          <w:lang w:eastAsia="zh-CN"/>
        </w:rPr>
        <w:t>工作，提出如下意见。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lang w:eastAsia="zh-CN"/>
        </w:rPr>
        <w:t>一、</w:t>
      </w:r>
      <w:r>
        <w:rPr>
          <w:rFonts w:hint="eastAsia" w:ascii="黑体" w:hAnsi="黑体" w:eastAsia="黑体" w:cs="黑体"/>
          <w:sz w:val="32"/>
          <w:szCs w:val="40"/>
        </w:rPr>
        <w:t>合作原则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依据国家有关法律法规和相关政策，坚持“市场运作、相互支持、互利共赢、守法合规”的原则，政府发挥组织、监管、指导、协调等作用；企业利用自身节水行业龙头优势以及全产业链先进技术在项目实施过程中提供新理念、新模式，发挥规划设计、建设运营管理等方面的作用。坚持政府主导、企业参与，通过政府推动和市场化运作相结合的方式，促进我州节水项目良好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lang w:eastAsia="zh-CN"/>
        </w:rPr>
      </w:pPr>
      <w:r>
        <w:rPr>
          <w:rFonts w:hint="eastAsia" w:ascii="黑体" w:hAnsi="黑体" w:eastAsia="黑体" w:cs="黑体"/>
          <w:sz w:val="32"/>
          <w:szCs w:val="40"/>
          <w:lang w:eastAsia="zh-CN"/>
        </w:rPr>
        <w:t>二、合作内容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根据我州自身发展情况，企业技术及人才优势，依据《中华人民共和国合同法》等法律法规，由县市</w:t>
      </w:r>
      <w:r>
        <w:rPr>
          <w:rFonts w:hint="eastAsia" w:ascii="仿宋" w:hAnsi="仿宋" w:eastAsia="仿宋" w:cs="仿宋"/>
          <w:sz w:val="32"/>
          <w:szCs w:val="40"/>
          <w:lang w:eastAsia="zh-CN"/>
        </w:rPr>
        <w:t>政府</w:t>
      </w:r>
      <w:r>
        <w:rPr>
          <w:rFonts w:hint="eastAsia" w:ascii="仿宋" w:hAnsi="仿宋" w:eastAsia="仿宋" w:cs="仿宋"/>
          <w:sz w:val="32"/>
          <w:szCs w:val="40"/>
        </w:rPr>
        <w:t>及相关行业部门为主导，企业从项目规划论证阶段参与，共同加强临夏州“三农三水”（农业高效节水、农村污水处理</w:t>
      </w:r>
      <w:r>
        <w:rPr>
          <w:rFonts w:hint="eastAsia" w:ascii="仿宋" w:hAnsi="仿宋" w:eastAsia="仿宋" w:cs="仿宋"/>
          <w:sz w:val="32"/>
          <w:szCs w:val="40"/>
          <w:lang w:eastAsia="zh-CN"/>
        </w:rPr>
        <w:t>、</w:t>
      </w:r>
      <w:r>
        <w:rPr>
          <w:rFonts w:hint="eastAsia" w:ascii="仿宋" w:hAnsi="仿宋" w:eastAsia="仿宋" w:cs="仿宋"/>
          <w:sz w:val="32"/>
          <w:szCs w:val="40"/>
        </w:rPr>
        <w:t>农民安全饮水）</w:t>
      </w:r>
      <w:r>
        <w:rPr>
          <w:rFonts w:hint="eastAsia" w:ascii="仿宋" w:hAnsi="仿宋" w:eastAsia="仿宋" w:cs="仿宋"/>
          <w:sz w:val="32"/>
          <w:szCs w:val="40"/>
          <w:lang w:eastAsia="zh-CN"/>
        </w:rPr>
        <w:t>、</w:t>
      </w:r>
      <w:r>
        <w:rPr>
          <w:rFonts w:hint="eastAsia" w:ascii="仿宋" w:hAnsi="仿宋" w:eastAsia="仿宋" w:cs="仿宋"/>
          <w:sz w:val="32"/>
          <w:szCs w:val="40"/>
        </w:rPr>
        <w:t>水生态综合治理、水利信息化及灌区标准化等项目建设，开展相关领域合作，通过竞争性磋商或者招投标等公开方式参与建设施工、运行管理。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rPr>
        <w:t>农业高效节水方面：</w:t>
      </w:r>
      <w:r>
        <w:rPr>
          <w:rFonts w:hint="eastAsia" w:ascii="仿宋" w:hAnsi="仿宋" w:eastAsia="仿宋" w:cs="仿宋"/>
          <w:sz w:val="32"/>
          <w:szCs w:val="40"/>
          <w:lang w:eastAsia="zh-CN"/>
        </w:rPr>
        <w:t>按照水务工作</w:t>
      </w:r>
      <w:r>
        <w:rPr>
          <w:rFonts w:hint="eastAsia" w:ascii="仿宋" w:hAnsi="仿宋" w:eastAsia="仿宋" w:cs="仿宋"/>
          <w:sz w:val="32"/>
          <w:szCs w:val="40"/>
        </w:rPr>
        <w:t>“十四五”规划和临夏州高效节水建设任务及要求，</w:t>
      </w:r>
      <w:r>
        <w:rPr>
          <w:rFonts w:hint="eastAsia" w:ascii="仿宋" w:hAnsi="仿宋" w:eastAsia="仿宋" w:cs="仿宋"/>
          <w:sz w:val="32"/>
          <w:szCs w:val="40"/>
          <w:lang w:eastAsia="zh-CN"/>
        </w:rPr>
        <w:t>由</w:t>
      </w:r>
      <w:r>
        <w:rPr>
          <w:rFonts w:hint="eastAsia" w:ascii="仿宋" w:hAnsi="仿宋" w:eastAsia="仿宋" w:cs="仿宋"/>
          <w:sz w:val="32"/>
          <w:szCs w:val="40"/>
        </w:rPr>
        <w:t>县市政府主导、相关部门负责项目规划论证，企业利用喷灌、滴灌、微灌、水肥一体化等技术，通过招投标等市场化运作参与规划设计与建设，重点开展高效节水灌溉和高标准农田项目建设。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rPr>
        <w:t>城乡供水一体化方面：</w:t>
      </w:r>
      <w:r>
        <w:rPr>
          <w:rFonts w:hint="eastAsia" w:ascii="仿宋" w:hAnsi="仿宋" w:eastAsia="仿宋" w:cs="仿宋"/>
          <w:sz w:val="32"/>
          <w:szCs w:val="40"/>
        </w:rPr>
        <w:t>各县市</w:t>
      </w:r>
      <w:r>
        <w:rPr>
          <w:rFonts w:hint="eastAsia" w:ascii="仿宋" w:hAnsi="仿宋" w:eastAsia="仿宋" w:cs="仿宋"/>
          <w:sz w:val="32"/>
          <w:szCs w:val="40"/>
          <w:lang w:eastAsia="zh-CN"/>
        </w:rPr>
        <w:t>政府</w:t>
      </w:r>
      <w:r>
        <w:rPr>
          <w:rFonts w:hint="eastAsia" w:ascii="仿宋" w:hAnsi="仿宋" w:eastAsia="仿宋" w:cs="仿宋"/>
          <w:sz w:val="32"/>
          <w:szCs w:val="40"/>
        </w:rPr>
        <w:t>根据县域实际和发展特点，在充分研究论证的基础上，考虑与企业合作的可行性，拿出</w:t>
      </w:r>
      <w:r>
        <w:rPr>
          <w:rFonts w:hint="eastAsia" w:ascii="仿宋" w:hAnsi="仿宋" w:eastAsia="仿宋" w:cs="仿宋"/>
          <w:sz w:val="32"/>
          <w:szCs w:val="40"/>
          <w:lang w:eastAsia="zh-CN"/>
        </w:rPr>
        <w:t>具体</w:t>
      </w:r>
      <w:r>
        <w:rPr>
          <w:rFonts w:hint="eastAsia" w:ascii="仿宋" w:hAnsi="仿宋" w:eastAsia="仿宋" w:cs="仿宋"/>
          <w:sz w:val="32"/>
          <w:szCs w:val="40"/>
        </w:rPr>
        <w:t>实施方案，充分利用“互联网+”技术，实行计量收费，供水精准管理，及时维护</w:t>
      </w:r>
      <w:r>
        <w:rPr>
          <w:rFonts w:hint="eastAsia" w:ascii="仿宋" w:hAnsi="仿宋" w:eastAsia="仿宋" w:cs="仿宋"/>
          <w:sz w:val="32"/>
          <w:szCs w:val="40"/>
          <w:lang w:eastAsia="zh-CN"/>
        </w:rPr>
        <w:t>供水</w:t>
      </w:r>
      <w:r>
        <w:rPr>
          <w:rFonts w:hint="eastAsia" w:ascii="仿宋" w:hAnsi="仿宋" w:eastAsia="仿宋" w:cs="仿宋"/>
          <w:sz w:val="32"/>
          <w:szCs w:val="40"/>
        </w:rPr>
        <w:t>工程受损设施，</w:t>
      </w:r>
      <w:r>
        <w:rPr>
          <w:rFonts w:hint="eastAsia" w:ascii="仿宋" w:hAnsi="仿宋" w:eastAsia="仿宋" w:cs="仿宋"/>
          <w:sz w:val="32"/>
          <w:szCs w:val="40"/>
          <w:lang w:eastAsia="zh-CN"/>
        </w:rPr>
        <w:t>逐步推行</w:t>
      </w:r>
      <w:r>
        <w:rPr>
          <w:rFonts w:hint="eastAsia" w:ascii="仿宋" w:hAnsi="仿宋" w:eastAsia="仿宋" w:cs="仿宋"/>
          <w:sz w:val="32"/>
          <w:szCs w:val="40"/>
        </w:rPr>
        <w:t>“以水养水”</w:t>
      </w:r>
      <w:r>
        <w:rPr>
          <w:rFonts w:hint="eastAsia" w:ascii="仿宋" w:hAnsi="仿宋" w:eastAsia="仿宋" w:cs="仿宋"/>
          <w:sz w:val="32"/>
          <w:szCs w:val="40"/>
          <w:lang w:eastAsia="zh-CN"/>
        </w:rPr>
        <w:t>，</w:t>
      </w:r>
      <w:r>
        <w:rPr>
          <w:rFonts w:hint="eastAsia" w:ascii="仿宋" w:hAnsi="仿宋" w:eastAsia="仿宋" w:cs="仿宋"/>
          <w:sz w:val="32"/>
          <w:szCs w:val="40"/>
        </w:rPr>
        <w:t>实现城乡供水“同源、同网、同价、同服务”一体化。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rPr>
        <w:t>农村污水治理方面：</w:t>
      </w:r>
      <w:r>
        <w:rPr>
          <w:rFonts w:hint="eastAsia" w:ascii="仿宋" w:hAnsi="仿宋" w:eastAsia="仿宋" w:cs="仿宋"/>
          <w:sz w:val="32"/>
          <w:szCs w:val="40"/>
          <w:lang w:eastAsia="zh-CN"/>
        </w:rPr>
        <w:t>由</w:t>
      </w:r>
      <w:r>
        <w:rPr>
          <w:rFonts w:hint="eastAsia" w:ascii="仿宋" w:hAnsi="仿宋" w:eastAsia="仿宋" w:cs="仿宋"/>
          <w:sz w:val="32"/>
          <w:szCs w:val="40"/>
        </w:rPr>
        <w:t>各县市政府和行业主管部门规划论证本区域内污水治理项目，考虑与企业合作的可行性，借鉴大禹公司已实施的天津市武清区污水处理PPP项目的成功经验，在做好城镇污水收集处理的基础上，利用企业污水处理先进技术，编制实施方案，逐步推进农村生活污水处理和农业面源污染防治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rPr>
        <w:t>水生态治理方面：</w:t>
      </w:r>
      <w:r>
        <w:rPr>
          <w:rFonts w:hint="eastAsia" w:ascii="仿宋" w:hAnsi="仿宋" w:eastAsia="仿宋" w:cs="仿宋"/>
          <w:sz w:val="32"/>
          <w:szCs w:val="40"/>
        </w:rPr>
        <w:t>各县市政府结合各自实际，考察大禹公司实施的云南省弥渡县河库水系连通高效节水项目，考虑让企业参与河湖连通、水生态修复、水环境改善等方面</w:t>
      </w:r>
      <w:r>
        <w:rPr>
          <w:rFonts w:hint="eastAsia" w:ascii="仿宋" w:hAnsi="仿宋" w:eastAsia="仿宋" w:cs="仿宋"/>
          <w:sz w:val="32"/>
          <w:szCs w:val="40"/>
          <w:lang w:eastAsia="zh-CN"/>
        </w:rPr>
        <w:t>的</w:t>
      </w:r>
      <w:r>
        <w:rPr>
          <w:rFonts w:hint="eastAsia" w:ascii="仿宋" w:hAnsi="仿宋" w:eastAsia="仿宋" w:cs="仿宋"/>
          <w:sz w:val="32"/>
          <w:szCs w:val="40"/>
        </w:rPr>
        <w:t>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rPr>
        <w:t>农业水价综合改革与灌区现代化建设方面：</w:t>
      </w:r>
      <w:r>
        <w:rPr>
          <w:rFonts w:hint="eastAsia" w:ascii="仿宋" w:hAnsi="仿宋" w:eastAsia="仿宋" w:cs="仿宋"/>
          <w:sz w:val="32"/>
          <w:szCs w:val="40"/>
        </w:rPr>
        <w:t>按照《甘肃省推进大中型灌区标准化规范化管理工作实施方案》和《临夏州农业水价综合改革实施方案》，建议各县市政府考虑与企业合作，借助企业已有平台进行数据采集、传输、存储、应用决策、灌区水利信息服务等，建设全州42处中型灌区智能化信息化综合服务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lang w:eastAsia="zh-CN"/>
        </w:rPr>
      </w:pPr>
      <w:r>
        <w:rPr>
          <w:rFonts w:hint="eastAsia" w:ascii="黑体" w:hAnsi="黑体" w:eastAsia="黑体" w:cs="黑体"/>
          <w:sz w:val="32"/>
          <w:szCs w:val="40"/>
          <w:lang w:eastAsia="zh-CN"/>
        </w:rPr>
        <w:t>三、合作模式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按照省委</w:t>
      </w:r>
      <w:r>
        <w:rPr>
          <w:rFonts w:hint="eastAsia" w:ascii="仿宋" w:hAnsi="仿宋" w:eastAsia="仿宋" w:cs="仿宋"/>
          <w:sz w:val="32"/>
          <w:szCs w:val="40"/>
          <w:lang w:eastAsia="zh-CN"/>
        </w:rPr>
        <w:t>、</w:t>
      </w:r>
      <w:r>
        <w:rPr>
          <w:rFonts w:hint="eastAsia" w:ascii="仿宋" w:hAnsi="仿宋" w:eastAsia="仿宋" w:cs="仿宋"/>
          <w:sz w:val="32"/>
          <w:szCs w:val="40"/>
        </w:rPr>
        <w:t>省政府“极限节水、深度节水”的要求，在借鉴酒泉市肃州区和玉门市等多地已建成项目施工管理先进经验的基础上，结合我州经济、社会、人文、地理条件，各县市政府针对不同行业部门和项目类型的特点，广泛探索开展多种模式的合作，灵活采用EPC、EPC+O、PPP、特许经营等不同模式，共同完成项目的规划论证及建设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楷体" w:hAnsi="楷体" w:eastAsia="楷体" w:cs="楷体"/>
          <w:b w:val="0"/>
          <w:bCs w:val="0"/>
          <w:sz w:val="32"/>
          <w:szCs w:val="40"/>
        </w:rPr>
        <w:t>（一）EPC模式</w:t>
      </w:r>
      <w:r>
        <w:rPr>
          <w:rFonts w:hint="eastAsia" w:ascii="楷体" w:hAnsi="楷体" w:eastAsia="楷体" w:cs="楷体"/>
          <w:b w:val="0"/>
          <w:bCs w:val="0"/>
          <w:sz w:val="32"/>
          <w:szCs w:val="40"/>
          <w:lang w:eastAsia="zh-CN"/>
        </w:rPr>
        <w:t>。</w:t>
      </w:r>
      <w:r>
        <w:rPr>
          <w:rFonts w:hint="eastAsia" w:ascii="仿宋" w:hAnsi="仿宋" w:eastAsia="仿宋" w:cs="仿宋"/>
          <w:sz w:val="32"/>
          <w:szCs w:val="40"/>
        </w:rPr>
        <w:t>公司受业主单位委托，按照合同约定对工程建设项目的设计、采购、施工总承包。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楷体" w:hAnsi="楷体" w:eastAsia="楷体" w:cs="楷体"/>
          <w:b w:val="0"/>
          <w:bCs w:val="0"/>
          <w:sz w:val="32"/>
          <w:szCs w:val="40"/>
        </w:rPr>
        <w:t>（二）EPC+0模式</w:t>
      </w:r>
      <w:r>
        <w:rPr>
          <w:rFonts w:hint="eastAsia" w:ascii="楷体" w:hAnsi="楷体" w:eastAsia="楷体" w:cs="楷体"/>
          <w:b w:val="0"/>
          <w:bCs w:val="0"/>
          <w:sz w:val="32"/>
          <w:szCs w:val="40"/>
          <w:lang w:eastAsia="zh-CN"/>
        </w:rPr>
        <w:t>。</w:t>
      </w:r>
      <w:r>
        <w:rPr>
          <w:rFonts w:hint="eastAsia" w:ascii="仿宋" w:hAnsi="仿宋" w:eastAsia="仿宋" w:cs="仿宋"/>
          <w:sz w:val="32"/>
          <w:szCs w:val="40"/>
        </w:rPr>
        <w:t>公司受业主单位委托，按照合同约定对工程建设项目的设计、采购、施工、运营总承包。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楷体" w:hAnsi="楷体" w:eastAsia="楷体" w:cs="楷体"/>
          <w:b w:val="0"/>
          <w:bCs w:val="0"/>
          <w:sz w:val="32"/>
          <w:szCs w:val="40"/>
        </w:rPr>
        <w:t>（三）PPP模式</w:t>
      </w:r>
      <w:r>
        <w:rPr>
          <w:rFonts w:hint="eastAsia" w:ascii="楷体" w:hAnsi="楷体" w:eastAsia="楷体" w:cs="楷体"/>
          <w:b w:val="0"/>
          <w:bCs w:val="0"/>
          <w:sz w:val="32"/>
          <w:szCs w:val="40"/>
          <w:lang w:eastAsia="zh-CN"/>
        </w:rPr>
        <w:t>。</w:t>
      </w:r>
      <w:r>
        <w:rPr>
          <w:rFonts w:hint="eastAsia" w:ascii="仿宋" w:hAnsi="仿宋" w:eastAsia="仿宋" w:cs="仿宋"/>
          <w:sz w:val="32"/>
          <w:szCs w:val="40"/>
        </w:rPr>
        <w:t>是一种以政府为主导、民营资本参与，两者合作提高效率降低风险，最终达到政府和民营资本双赢，提高基础设施建设服务质量的新型融资模式。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楷体" w:hAnsi="楷体" w:eastAsia="楷体" w:cs="楷体"/>
          <w:b w:val="0"/>
          <w:bCs w:val="0"/>
          <w:sz w:val="32"/>
          <w:szCs w:val="40"/>
        </w:rPr>
        <w:t>（四）特许经营模式</w:t>
      </w:r>
      <w:r>
        <w:rPr>
          <w:rFonts w:hint="eastAsia" w:ascii="楷体" w:hAnsi="楷体" w:eastAsia="楷体" w:cs="楷体"/>
          <w:b w:val="0"/>
          <w:bCs w:val="0"/>
          <w:sz w:val="32"/>
          <w:szCs w:val="40"/>
          <w:lang w:eastAsia="zh-CN"/>
        </w:rPr>
        <w:t>。</w:t>
      </w:r>
      <w:r>
        <w:rPr>
          <w:rFonts w:hint="eastAsia" w:ascii="仿宋" w:hAnsi="仿宋" w:eastAsia="仿宋" w:cs="仿宋"/>
          <w:sz w:val="32"/>
          <w:szCs w:val="40"/>
        </w:rPr>
        <w:t>政府以特许经营的方式由社会资本负责建设，交由使用者付费。针对产业基础好、现金流充足的地方，从财务谨慎性原则出发，仅考虑项目水费收入，若能覆盖项目融资、建设及运营成本，则项目具体运作方式可考虑设置为特许经营。</w:t>
      </w:r>
    </w:p>
    <w:p>
      <w:pPr>
        <w:pStyle w:val="2"/>
        <w:rPr>
          <w:rFonts w:hint="eastAsia" w:ascii="仿宋" w:hAnsi="仿宋" w:eastAsia="仿宋" w:cs="仿宋"/>
          <w:sz w:val="32"/>
          <w:szCs w:val="40"/>
        </w:rPr>
      </w:pPr>
    </w:p>
    <w:p>
      <w:pPr>
        <w:pStyle w:val="2"/>
        <w:rPr>
          <w:rFonts w:hint="eastAsia" w:ascii="仿宋" w:hAnsi="仿宋" w:eastAsia="仿宋" w:cs="仿宋"/>
          <w:sz w:val="32"/>
          <w:szCs w:val="40"/>
        </w:rPr>
      </w:pPr>
    </w:p>
    <w:p>
      <w:pPr>
        <w:pStyle w:val="2"/>
        <w:rPr>
          <w:rFonts w:hint="eastAsia" w:ascii="仿宋" w:hAnsi="仿宋" w:eastAsia="仿宋" w:cs="仿宋"/>
          <w:sz w:val="32"/>
          <w:szCs w:val="40"/>
          <w:lang w:eastAsia="zh-CN"/>
        </w:rPr>
      </w:pPr>
      <w:r>
        <w:rPr>
          <w:rFonts w:hint="eastAsia" w:ascii="仿宋" w:hAnsi="仿宋" w:eastAsia="仿宋" w:cs="仿宋"/>
          <w:sz w:val="32"/>
          <w:szCs w:val="40"/>
          <w:lang w:val="en-US" w:eastAsia="zh-CN"/>
        </w:rPr>
        <w:t xml:space="preserve">        </w:t>
      </w:r>
      <w:r>
        <w:rPr>
          <w:rFonts w:hint="eastAsia" w:ascii="仿宋" w:hAnsi="仿宋" w:eastAsia="仿宋" w:cs="仿宋"/>
          <w:sz w:val="32"/>
          <w:szCs w:val="40"/>
          <w:lang w:eastAsia="zh-CN"/>
        </w:rPr>
        <w:t>临夏回族自治州人民政府</w:t>
      </w:r>
    </w:p>
    <w:p>
      <w:pPr>
        <w:pStyle w:val="2"/>
        <w:rPr>
          <w:rFonts w:hint="eastAsia" w:ascii="仿宋" w:hAnsi="仿宋" w:eastAsia="仿宋" w:cs="仿宋"/>
          <w:sz w:val="32"/>
          <w:szCs w:val="40"/>
          <w:lang w:eastAsia="zh-CN"/>
        </w:rPr>
      </w:pPr>
      <w:r>
        <w:rPr>
          <w:rFonts w:hint="eastAsia" w:ascii="仿宋" w:hAnsi="仿宋" w:eastAsia="仿宋" w:cs="仿宋"/>
          <w:sz w:val="32"/>
          <w:szCs w:val="40"/>
          <w:lang w:val="en-US" w:eastAsia="zh-CN"/>
        </w:rPr>
        <w:t xml:space="preserve">          </w:t>
      </w:r>
      <w:r>
        <w:rPr>
          <w:rFonts w:hint="eastAsia" w:ascii="仿宋" w:hAnsi="仿宋" w:eastAsia="仿宋" w:cs="仿宋"/>
          <w:sz w:val="32"/>
          <w:szCs w:val="40"/>
          <w:lang w:eastAsia="zh-CN"/>
        </w:rPr>
        <w:t>2021年1月</w:t>
      </w:r>
      <w:r>
        <w:rPr>
          <w:rFonts w:hint="eastAsia" w:ascii="仿宋" w:hAnsi="仿宋" w:eastAsia="仿宋" w:cs="仿宋"/>
          <w:sz w:val="32"/>
          <w:szCs w:val="40"/>
          <w:lang w:val="en-US" w:eastAsia="zh-CN"/>
        </w:rPr>
        <w:t>1</w:t>
      </w:r>
      <w:r>
        <w:rPr>
          <w:rFonts w:hint="eastAsia" w:ascii="仿宋" w:hAnsi="仿宋" w:eastAsia="仿宋" w:cs="仿宋"/>
          <w:sz w:val="32"/>
          <w:szCs w:val="40"/>
          <w:lang w:val="en-US" w:eastAsia="zh-CN"/>
        </w:rPr>
        <w:t>3</w:t>
      </w:r>
      <w:r>
        <w:rPr>
          <w:rFonts w:hint="eastAsia" w:ascii="仿宋" w:hAnsi="仿宋" w:eastAsia="仿宋" w:cs="仿宋"/>
          <w:sz w:val="32"/>
          <w:szCs w:val="40"/>
          <w:lang w:eastAsia="zh-CN"/>
        </w:rPr>
        <w:t>日</w:t>
      </w:r>
    </w:p>
    <w:p>
      <w:pPr>
        <w:pStyle w:val="2"/>
        <w:jc w:val="both"/>
        <w:rPr>
          <w:rFonts w:hint="eastAsia" w:ascii="仿宋" w:hAnsi="仿宋" w:eastAsia="仿宋" w:cs="仿宋"/>
          <w:sz w:val="32"/>
          <w:szCs w:val="40"/>
          <w:lang w:eastAsia="zh-CN"/>
        </w:rPr>
      </w:pPr>
      <w:r>
        <w:rPr>
          <w:rFonts w:hint="eastAsia" w:ascii="仿宋" w:hAnsi="仿宋" w:eastAsia="仿宋" w:cs="仿宋"/>
          <w:sz w:val="32"/>
          <w:szCs w:val="40"/>
          <w:lang w:eastAsia="zh-CN"/>
        </w:rPr>
        <w:t>（此件公开发布</w:t>
      </w:r>
      <w:bookmarkStart w:id="0" w:name="_GoBack"/>
      <w:bookmarkEnd w:id="0"/>
      <w:r>
        <w:rPr>
          <w:rFonts w:hint="eastAsia" w:ascii="仿宋" w:hAnsi="仿宋" w:eastAsia="仿宋" w:cs="仿宋"/>
          <w:sz w:val="32"/>
          <w:szCs w:val="40"/>
          <w:lang w:eastAsia="zh-CN"/>
        </w:rPr>
        <w:t>）</w:t>
      </w:r>
    </w:p>
    <w:p>
      <w:pPr>
        <w:pStyle w:val="2"/>
        <w:rPr>
          <w:rFonts w:hint="eastAsia" w:ascii="仿宋" w:hAnsi="仿宋" w:eastAsia="仿宋" w:cs="仿宋"/>
          <w:sz w:val="32"/>
          <w:szCs w:val="40"/>
          <w:lang w:eastAsia="zh-CN"/>
        </w:rPr>
      </w:pPr>
    </w:p>
    <w:sectPr>
      <w:footerReference r:id="rId3" w:type="default"/>
      <w:pgSz w:w="11906" w:h="16838"/>
      <w:pgMar w:top="2098" w:right="1531" w:bottom="2098"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05"/>
    <w:rsid w:val="00036AF9"/>
    <w:rsid w:val="000809B5"/>
    <w:rsid w:val="00112119"/>
    <w:rsid w:val="0016208F"/>
    <w:rsid w:val="0017163E"/>
    <w:rsid w:val="00196D67"/>
    <w:rsid w:val="00302803"/>
    <w:rsid w:val="004C6681"/>
    <w:rsid w:val="005B6670"/>
    <w:rsid w:val="005F2F05"/>
    <w:rsid w:val="00661175"/>
    <w:rsid w:val="00705493"/>
    <w:rsid w:val="007A548D"/>
    <w:rsid w:val="007A7A71"/>
    <w:rsid w:val="0089168B"/>
    <w:rsid w:val="00960A61"/>
    <w:rsid w:val="00A478C5"/>
    <w:rsid w:val="00A847E9"/>
    <w:rsid w:val="00A911FE"/>
    <w:rsid w:val="00AC1920"/>
    <w:rsid w:val="00BF5F2D"/>
    <w:rsid w:val="00C33481"/>
    <w:rsid w:val="00C353FC"/>
    <w:rsid w:val="00CF406D"/>
    <w:rsid w:val="00D20E8B"/>
    <w:rsid w:val="00D97E2E"/>
    <w:rsid w:val="00DA1C53"/>
    <w:rsid w:val="00DE2B72"/>
    <w:rsid w:val="00E27597"/>
    <w:rsid w:val="00E36D54"/>
    <w:rsid w:val="00F00D55"/>
    <w:rsid w:val="00FF10BA"/>
    <w:rsid w:val="023D09EC"/>
    <w:rsid w:val="0A23447F"/>
    <w:rsid w:val="1B313D4F"/>
    <w:rsid w:val="1D516C12"/>
    <w:rsid w:val="21AD487A"/>
    <w:rsid w:val="2C6E6943"/>
    <w:rsid w:val="2FC52FF1"/>
    <w:rsid w:val="349E64FA"/>
    <w:rsid w:val="4C8B07B7"/>
    <w:rsid w:val="4E9350BD"/>
    <w:rsid w:val="4F3357D9"/>
    <w:rsid w:val="6E8739E4"/>
    <w:rsid w:val="6EA30580"/>
    <w:rsid w:val="79F97AFE"/>
    <w:rsid w:val="7B33015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9"/>
    <w:qFormat/>
    <w:uiPriority w:val="99"/>
    <w:pPr>
      <w:spacing w:line="700" w:lineRule="exact"/>
      <w:ind w:firstLine="436" w:firstLineChars="100"/>
      <w:jc w:val="center"/>
    </w:pPr>
    <w:rPr>
      <w:rFonts w:ascii="方正大标宋简体" w:hAnsi="Times New Roman" w:eastAsia="方正大标宋简体"/>
      <w:sz w:val="44"/>
    </w:rPr>
  </w:style>
  <w:style w:type="paragraph" w:styleId="3">
    <w:name w:val="Balloon Text"/>
    <w:basedOn w:val="1"/>
    <w:link w:val="12"/>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character" w:customStyle="1" w:styleId="9">
    <w:name w:val="Body Text Indent 2 Char"/>
    <w:basedOn w:val="8"/>
    <w:link w:val="2"/>
    <w:semiHidden/>
    <w:qFormat/>
    <w:uiPriority w:val="99"/>
    <w:rPr>
      <w:rFonts w:ascii="Calibri" w:hAnsi="Calibri"/>
      <w:szCs w:val="24"/>
    </w:rPr>
  </w:style>
  <w:style w:type="character" w:customStyle="1" w:styleId="10">
    <w:name w:val="Header Char"/>
    <w:basedOn w:val="8"/>
    <w:link w:val="5"/>
    <w:qFormat/>
    <w:locked/>
    <w:uiPriority w:val="99"/>
    <w:rPr>
      <w:rFonts w:ascii="Calibri" w:hAnsi="Calibri" w:eastAsia="宋体" w:cs="Times New Roman"/>
      <w:kern w:val="2"/>
      <w:sz w:val="18"/>
      <w:szCs w:val="18"/>
    </w:rPr>
  </w:style>
  <w:style w:type="character" w:customStyle="1" w:styleId="11">
    <w:name w:val="Footer Char"/>
    <w:basedOn w:val="8"/>
    <w:link w:val="4"/>
    <w:qFormat/>
    <w:locked/>
    <w:uiPriority w:val="99"/>
    <w:rPr>
      <w:rFonts w:ascii="Calibri" w:hAnsi="Calibri" w:eastAsia="宋体" w:cs="Times New Roman"/>
      <w:kern w:val="2"/>
      <w:sz w:val="18"/>
      <w:szCs w:val="18"/>
    </w:rPr>
  </w:style>
  <w:style w:type="character" w:customStyle="1" w:styleId="12">
    <w:name w:val="Balloon Text Char"/>
    <w:basedOn w:val="8"/>
    <w:link w:val="3"/>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237</Words>
  <Characters>1357</Characters>
  <Lines>0</Lines>
  <Paragraphs>0</Paragraphs>
  <TotalTime>32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2020-11-27T03:02:00Z</dcterms:created>
  <dc:creator>Administrator</dc:creator>
  <cp:lastModifiedBy>沉着</cp:lastModifiedBy>
  <cp:lastPrinted>2021-01-13T01:56:00Z</cp:lastPrinted>
  <dcterms:modified xsi:type="dcterms:W3CDTF">2021-01-21T08:49:58Z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