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/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ind w:firstLine="640"/>
        <w:jc w:val="center"/>
        <w:rPr>
          <w:rFonts w:hint="default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2024年二季度临夏州</w:t>
      </w:r>
      <w:r>
        <w:rPr>
          <w:rFonts w:hint="eastAsia" w:ascii="黑体" w:hAnsi="黑体" w:eastAsia="黑体" w:cs="黑体"/>
          <w:sz w:val="36"/>
          <w:szCs w:val="36"/>
        </w:rPr>
        <w:t>地区生产总值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同比增长6.5%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根据地区生产总值统一核算结果，202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季度我州地区生产总值为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213.0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6.5</w:t>
      </w:r>
      <w:r>
        <w:rPr>
          <w:rFonts w:hint="eastAsia" w:ascii="仿宋" w:hAnsi="仿宋" w:eastAsia="仿宋" w:cs="仿宋"/>
          <w:sz w:val="32"/>
          <w:szCs w:val="32"/>
        </w:rPr>
        <w:t>%。其中，第一产业增加值为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20.4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6.6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第二产业增加值为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45.8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16.5</w:t>
      </w:r>
      <w:r>
        <w:rPr>
          <w:rFonts w:hint="eastAsia" w:ascii="仿宋" w:hAnsi="仿宋" w:eastAsia="仿宋" w:cs="仿宋"/>
          <w:sz w:val="32"/>
          <w:szCs w:val="32"/>
        </w:rPr>
        <w:t>%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第三产业增加值为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146.8</w:t>
      </w:r>
      <w:r>
        <w:rPr>
          <w:rFonts w:hint="eastAsia" w:ascii="仿宋" w:hAnsi="仿宋" w:eastAsia="仿宋" w:cs="仿宋"/>
          <w:sz w:val="32"/>
          <w:szCs w:val="32"/>
        </w:rPr>
        <w:t>亿元，同比增长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3.9</w:t>
      </w:r>
      <w:r>
        <w:rPr>
          <w:rFonts w:hint="eastAsia" w:ascii="仿宋" w:hAnsi="仿宋" w:eastAsia="仿宋" w:cs="仿宋"/>
          <w:sz w:val="32"/>
          <w:szCs w:val="32"/>
        </w:rPr>
        <w:t>%。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91AE7"/>
    <w:rsid w:val="11E91AE7"/>
    <w:rsid w:val="26510BCB"/>
    <w:rsid w:val="2E532CE4"/>
    <w:rsid w:val="4ACC263A"/>
    <w:rsid w:val="661B1551"/>
    <w:rsid w:val="67AA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2024-07-25T01:00:00Z</dcterms:created>
  <dc:creator>mbp</dc:creator>
  <cp:lastModifiedBy>mbp</cp:lastModifiedBy>
  <dcterms:modified xsi:type="dcterms:W3CDTF">2024-07-25T01:19:59Z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BEE2CA01FA0A40BABDFB8CF5C64CD20C</vt:lpwstr>
  </property>
</Properties>
</file>