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i w:val="0"/>
          <w:caps w:val="0"/>
          <w:color w:val="000000"/>
          <w:spacing w:val="0"/>
          <w:sz w:val="32"/>
          <w:szCs w:val="32"/>
          <w:shd w:val="clear" w:fill="FFFFFF"/>
          <w:lang w:val="en-US" w:eastAsia="zh-CN"/>
        </w:rPr>
      </w:pPr>
      <w:r>
        <w:rPr>
          <w:rFonts w:hint="eastAsia" w:ascii="方正小标宋简体" w:hAnsi="方正小标宋简体" w:eastAsia="方正小标宋简体" w:cs="方正小标宋简体"/>
          <w:sz w:val="44"/>
          <w:szCs w:val="44"/>
          <w:lang w:val="en-US" w:eastAsia="zh-CN"/>
        </w:rPr>
        <w:t>积石山县2020年政府信息公开年度报告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i w:val="0"/>
          <w:caps w:val="0"/>
          <w:color w:val="000000"/>
          <w:spacing w:val="0"/>
          <w:sz w:val="32"/>
          <w:szCs w:val="32"/>
          <w:lang w:val="en-US" w:eastAsia="zh-CN"/>
        </w:rPr>
      </w:pPr>
      <w:r>
        <w:rPr>
          <w:rFonts w:hint="eastAsia" w:ascii="仿宋_GB2312" w:hAnsi="仿宋_GB2312" w:eastAsia="仿宋_GB2312" w:cs="仿宋_GB2312"/>
          <w:i w:val="0"/>
          <w:caps w:val="0"/>
          <w:color w:val="000000"/>
          <w:spacing w:val="0"/>
          <w:sz w:val="32"/>
          <w:szCs w:val="32"/>
          <w:shd w:val="clear" w:fill="FFFFFF"/>
          <w:lang w:val="en-US" w:eastAsia="zh-CN"/>
        </w:rPr>
        <w:t>本报告根据</w:t>
      </w:r>
      <w:r>
        <w:rPr>
          <w:rFonts w:hint="eastAsia" w:ascii="仿宋_GB2312" w:hAnsi="仿宋_GB2312" w:eastAsia="仿宋_GB2312" w:cs="仿宋_GB2312"/>
          <w:i w:val="0"/>
          <w:caps w:val="0"/>
          <w:color w:val="000000"/>
          <w:spacing w:val="0"/>
          <w:sz w:val="32"/>
          <w:szCs w:val="32"/>
          <w:shd w:val="clear" w:fill="FFFFFF"/>
        </w:rPr>
        <w:t>《国务院办公厅关于印发2020年政务公开工作要点的通知》（国办发〔2020〕17号）、《甘肃省人民政府办公厅关于印发甘肃省政务公开工作实施方案的通知》（甘政办发〔2020〕83号）</w:t>
      </w:r>
      <w:r>
        <w:rPr>
          <w:rFonts w:hint="eastAsia" w:ascii="仿宋_GB2312" w:hAnsi="仿宋_GB2312" w:eastAsia="仿宋_GB2312" w:cs="仿宋_GB2312"/>
          <w:i w:val="0"/>
          <w:caps w:val="0"/>
          <w:color w:val="000000"/>
          <w:spacing w:val="0"/>
          <w:sz w:val="32"/>
          <w:szCs w:val="32"/>
          <w:shd w:val="clear" w:fill="FFFFFF"/>
          <w:lang w:eastAsia="zh-CN"/>
        </w:rPr>
        <w:t>、《临夏州政务公开工作实施方案的通知》（临州办发〔2020〕81号）</w:t>
      </w:r>
      <w:r>
        <w:rPr>
          <w:rFonts w:hint="eastAsia" w:ascii="仿宋_GB2312" w:hAnsi="仿宋_GB2312" w:eastAsia="仿宋_GB2312" w:cs="仿宋_GB2312"/>
          <w:i w:val="0"/>
          <w:caps w:val="0"/>
          <w:color w:val="000000"/>
          <w:spacing w:val="0"/>
          <w:sz w:val="32"/>
          <w:szCs w:val="32"/>
          <w:shd w:val="clear" w:fill="FFFFFF"/>
          <w:lang w:val="en-US" w:eastAsia="zh-CN"/>
        </w:rPr>
        <w:t>、</w:t>
      </w:r>
      <w:r>
        <w:rPr>
          <w:rFonts w:hint="eastAsia" w:ascii="仿宋_GB2312" w:hAnsi="仿宋_GB2312" w:eastAsia="仿宋_GB2312" w:cs="仿宋_GB2312"/>
          <w:i w:val="0"/>
          <w:caps w:val="0"/>
          <w:color w:val="000000"/>
          <w:spacing w:val="0"/>
          <w:sz w:val="32"/>
          <w:szCs w:val="32"/>
          <w:shd w:val="clear" w:fill="FFFFFF"/>
        </w:rPr>
        <w:t>省政务公开领导小组第二次会议暨全省政务公开工作电视电话会议</w:t>
      </w:r>
      <w:r>
        <w:rPr>
          <w:rFonts w:hint="eastAsia" w:ascii="仿宋_GB2312" w:hAnsi="仿宋_GB2312" w:eastAsia="仿宋_GB2312" w:cs="仿宋_GB2312"/>
          <w:i w:val="0"/>
          <w:caps w:val="0"/>
          <w:color w:val="000000"/>
          <w:spacing w:val="0"/>
          <w:sz w:val="32"/>
          <w:szCs w:val="32"/>
          <w:shd w:val="clear" w:fill="FFFFFF"/>
          <w:lang w:val="en-US" w:eastAsia="zh-CN"/>
        </w:rPr>
        <w:t>精神和</w:t>
      </w:r>
      <w:r>
        <w:rPr>
          <w:rFonts w:hint="eastAsia" w:ascii="仿宋_GB2312" w:hAnsi="仿宋_GB2312" w:eastAsia="仿宋_GB2312" w:cs="仿宋_GB2312"/>
          <w:i w:val="0"/>
          <w:caps w:val="0"/>
          <w:color w:val="333333"/>
          <w:spacing w:val="0"/>
          <w:sz w:val="32"/>
          <w:szCs w:val="32"/>
          <w:shd w:val="clear" w:fill="FFFFFF"/>
        </w:rPr>
        <w:t>《</w:t>
      </w:r>
      <w:r>
        <w:rPr>
          <w:rFonts w:hint="eastAsia" w:ascii="仿宋_GB2312" w:hAnsi="仿宋_GB2312" w:eastAsia="仿宋_GB2312" w:cs="仿宋_GB2312"/>
          <w:i w:val="0"/>
          <w:caps w:val="0"/>
          <w:color w:val="333333"/>
          <w:spacing w:val="0"/>
          <w:sz w:val="32"/>
          <w:szCs w:val="32"/>
          <w:shd w:val="clear" w:fill="FFFFFF"/>
          <w:lang w:val="en-US" w:eastAsia="zh-CN"/>
        </w:rPr>
        <w:t>临夏回族自治州人民政府办公室</w:t>
      </w:r>
      <w:r>
        <w:rPr>
          <w:rFonts w:hint="eastAsia" w:ascii="仿宋_GB2312" w:hAnsi="仿宋_GB2312" w:eastAsia="仿宋_GB2312" w:cs="仿宋_GB2312"/>
          <w:i w:val="0"/>
          <w:caps w:val="0"/>
          <w:color w:val="333333"/>
          <w:spacing w:val="0"/>
          <w:sz w:val="32"/>
          <w:szCs w:val="32"/>
          <w:shd w:val="clear" w:fill="FFFFFF"/>
        </w:rPr>
        <w:t>关于做好2020年政府信息公开工作年度报告编制发布工作的通知》</w:t>
      </w:r>
      <w:r>
        <w:rPr>
          <w:rFonts w:hint="eastAsia" w:ascii="仿宋_GB2312" w:hAnsi="仿宋_GB2312" w:eastAsia="仿宋_GB2312" w:cs="仿宋_GB2312"/>
          <w:i w:val="0"/>
          <w:caps w:val="0"/>
          <w:color w:val="333333"/>
          <w:spacing w:val="0"/>
          <w:sz w:val="32"/>
          <w:szCs w:val="32"/>
          <w:shd w:val="clear" w:fill="FFFFFF"/>
          <w:lang w:val="en-US" w:eastAsia="zh-CN"/>
        </w:rPr>
        <w:t>要求，</w:t>
      </w:r>
      <w:r>
        <w:rPr>
          <w:rFonts w:hint="eastAsia" w:ascii="仿宋_GB2312" w:hAnsi="仿宋_GB2312" w:eastAsia="仿宋_GB2312" w:cs="仿宋_GB2312"/>
          <w:i w:val="0"/>
          <w:caps w:val="0"/>
          <w:color w:val="000000"/>
          <w:spacing w:val="0"/>
          <w:sz w:val="32"/>
          <w:szCs w:val="32"/>
        </w:rPr>
        <w:t>综合各单位的政府信息公开工作年度报告和有关统计数据而成。报告所列数据统计期限自</w:t>
      </w:r>
      <w:r>
        <w:rPr>
          <w:rFonts w:hint="eastAsia" w:ascii="仿宋_GB2312" w:hAnsi="仿宋_GB2312" w:eastAsia="仿宋_GB2312" w:cs="仿宋_GB2312"/>
          <w:i w:val="0"/>
          <w:caps w:val="0"/>
          <w:color w:val="000000"/>
          <w:spacing w:val="0"/>
          <w:sz w:val="32"/>
          <w:szCs w:val="32"/>
          <w:lang w:val="en-US" w:eastAsia="zh-CN"/>
        </w:rPr>
        <w:t>2020</w:t>
      </w:r>
      <w:r>
        <w:rPr>
          <w:rFonts w:hint="eastAsia" w:ascii="仿宋_GB2312" w:hAnsi="仿宋_GB2312" w:eastAsia="仿宋_GB2312" w:cs="仿宋_GB2312"/>
          <w:i w:val="0"/>
          <w:caps w:val="0"/>
          <w:color w:val="000000"/>
          <w:spacing w:val="0"/>
          <w:sz w:val="32"/>
          <w:szCs w:val="32"/>
        </w:rPr>
        <w:t>年1月1日起至12月31日止</w:t>
      </w:r>
      <w:r>
        <w:rPr>
          <w:rFonts w:hint="eastAsia" w:ascii="仿宋_GB2312" w:hAnsi="仿宋_GB2312" w:eastAsia="仿宋_GB2312" w:cs="仿宋_GB2312"/>
          <w:i w:val="0"/>
          <w:caps w:val="0"/>
          <w:color w:val="000000"/>
          <w:spacing w:val="0"/>
          <w:sz w:val="32"/>
          <w:szCs w:val="32"/>
          <w:lang w:eastAsia="zh-CN"/>
        </w:rPr>
        <w:t>，</w:t>
      </w:r>
      <w:r>
        <w:rPr>
          <w:rFonts w:hint="eastAsia" w:ascii="仿宋_GB2312" w:hAnsi="宋体" w:eastAsia="仿宋_GB2312" w:cs="仿宋_GB2312"/>
          <w:i w:val="0"/>
          <w:caps w:val="0"/>
          <w:color w:val="000000"/>
          <w:spacing w:val="0"/>
          <w:sz w:val="31"/>
          <w:szCs w:val="31"/>
        </w:rPr>
        <w:t>报告电子版可在“积石山保安族东乡族撒拉族自治县人民政府”门户网站（网址：http://www.jss.gov.cn）的“</w:t>
      </w:r>
      <w:r>
        <w:rPr>
          <w:rFonts w:hint="eastAsia" w:ascii="仿宋_GB2312" w:hAnsi="宋体" w:eastAsia="仿宋_GB2312" w:cs="仿宋_GB2312"/>
          <w:i w:val="0"/>
          <w:caps w:val="0"/>
          <w:color w:val="000000"/>
          <w:spacing w:val="0"/>
          <w:sz w:val="31"/>
          <w:szCs w:val="31"/>
          <w:lang w:val="en-US" w:eastAsia="zh-CN"/>
        </w:rPr>
        <w:t>政府</w:t>
      </w:r>
      <w:r>
        <w:rPr>
          <w:rFonts w:hint="eastAsia" w:ascii="仿宋_GB2312" w:hAnsi="宋体" w:eastAsia="仿宋_GB2312" w:cs="仿宋_GB2312"/>
          <w:i w:val="0"/>
          <w:caps w:val="0"/>
          <w:color w:val="000000"/>
          <w:spacing w:val="0"/>
          <w:sz w:val="31"/>
          <w:szCs w:val="31"/>
        </w:rPr>
        <w:t>信息公开”专栏中查看。</w:t>
      </w:r>
    </w:p>
    <w:p>
      <w:pPr>
        <w:keepNext w:val="0"/>
        <w:keepLines w:val="0"/>
        <w:pageBreakBefore w:val="0"/>
        <w:widowControl w:val="0"/>
        <w:kinsoku/>
        <w:wordWrap/>
        <w:overflowPunct/>
        <w:topLinePunct w:val="0"/>
        <w:autoSpaceDE/>
        <w:autoSpaceDN/>
        <w:bidi w:val="0"/>
        <w:adjustRightInd/>
        <w:snapToGrid/>
        <w:spacing w:line="600" w:lineRule="atLeast"/>
        <w:ind w:firstLine="640" w:firstLineChars="200"/>
        <w:jc w:val="both"/>
        <w:textAlignment w:val="auto"/>
        <w:rPr>
          <w:rFonts w:hint="eastAsia" w:ascii="仿宋_GB2312" w:hAnsi="仿宋_GB2312" w:eastAsia="仿宋_GB2312" w:cs="仿宋_GB2312"/>
          <w:i w:val="0"/>
          <w:caps w:val="0"/>
          <w:color w:val="000000"/>
          <w:spacing w:val="0"/>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firstLine="640" w:firstLineChars="200"/>
        <w:jc w:val="both"/>
        <w:textAlignment w:val="auto"/>
        <w:rPr>
          <w:rFonts w:hint="eastAsia" w:ascii="黑体" w:hAnsi="黑体" w:eastAsia="黑体" w:cs="黑体"/>
          <w:i w:val="0"/>
          <w:caps w:val="0"/>
          <w:color w:val="000000"/>
          <w:spacing w:val="0"/>
          <w:sz w:val="32"/>
          <w:szCs w:val="32"/>
          <w:shd w:val="clear" w:fill="FFFFFF"/>
        </w:rPr>
      </w:pPr>
      <w:r>
        <w:rPr>
          <w:rFonts w:hint="eastAsia" w:ascii="黑体" w:hAnsi="黑体" w:eastAsia="黑体" w:cs="黑体"/>
          <w:i w:val="0"/>
          <w:caps w:val="0"/>
          <w:color w:val="000000"/>
          <w:spacing w:val="0"/>
          <w:sz w:val="32"/>
          <w:szCs w:val="32"/>
          <w:shd w:val="clear" w:fill="FFFFFF"/>
        </w:rPr>
        <w:t>一、总体情况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firstLine="640" w:firstLineChars="200"/>
        <w:jc w:val="both"/>
        <w:textAlignment w:val="auto"/>
        <w:rPr>
          <w:rFonts w:hint="eastAsia" w:ascii="仿宋_GB2312" w:hAnsi="仿宋_GB2312" w:eastAsia="仿宋_GB2312" w:cs="仿宋_GB2312"/>
          <w:i w:val="0"/>
          <w:caps w:val="0"/>
          <w:color w:val="000000"/>
          <w:spacing w:val="0"/>
          <w:sz w:val="32"/>
          <w:szCs w:val="32"/>
          <w:shd w:val="clear" w:fill="FFFFFF"/>
          <w:lang w:val="en-US" w:eastAsia="zh-CN"/>
        </w:rPr>
      </w:pPr>
      <w:r>
        <w:rPr>
          <w:rFonts w:hint="eastAsia" w:ascii="仿宋_GB2312" w:hAnsi="仿宋_GB2312" w:eastAsia="仿宋_GB2312" w:cs="仿宋_GB2312"/>
          <w:i w:val="0"/>
          <w:caps w:val="0"/>
          <w:color w:val="000000"/>
          <w:spacing w:val="0"/>
          <w:sz w:val="32"/>
          <w:szCs w:val="32"/>
          <w:shd w:val="clear" w:fill="FFFFFF"/>
          <w:lang w:val="en-US" w:eastAsia="zh-CN"/>
        </w:rPr>
        <w:t>2020年，县人民政府</w:t>
      </w:r>
      <w:r>
        <w:rPr>
          <w:rFonts w:hint="eastAsia" w:ascii="仿宋_GB2312" w:hAnsi="仿宋_GB2312" w:eastAsia="仿宋_GB2312" w:cs="仿宋_GB2312"/>
          <w:i w:val="0"/>
          <w:caps w:val="0"/>
          <w:color w:val="000000"/>
          <w:spacing w:val="0"/>
          <w:sz w:val="32"/>
          <w:szCs w:val="32"/>
          <w:shd w:val="clear" w:fill="FFFFFF"/>
        </w:rPr>
        <w:t>按照《</w:t>
      </w:r>
      <w:r>
        <w:rPr>
          <w:rFonts w:hint="eastAsia" w:ascii="仿宋_GB2312" w:hAnsi="仿宋_GB2312" w:eastAsia="仿宋_GB2312" w:cs="仿宋_GB2312"/>
          <w:i w:val="0"/>
          <w:caps w:val="0"/>
          <w:color w:val="000000"/>
          <w:spacing w:val="0"/>
          <w:sz w:val="32"/>
          <w:szCs w:val="32"/>
          <w:shd w:val="clear" w:fill="FFFFFF"/>
          <w:lang w:eastAsia="zh-CN"/>
        </w:rPr>
        <w:t>条例</w:t>
      </w:r>
      <w:r>
        <w:rPr>
          <w:rFonts w:hint="eastAsia" w:ascii="仿宋_GB2312" w:hAnsi="仿宋_GB2312" w:eastAsia="仿宋_GB2312" w:cs="仿宋_GB2312"/>
          <w:i w:val="0"/>
          <w:caps w:val="0"/>
          <w:color w:val="000000"/>
          <w:spacing w:val="0"/>
          <w:sz w:val="32"/>
          <w:szCs w:val="32"/>
          <w:shd w:val="clear" w:fill="FFFFFF"/>
        </w:rPr>
        <w:t>》要求，坚持以“公开为原则，不公开为例外”</w:t>
      </w:r>
      <w:r>
        <w:rPr>
          <w:rFonts w:hint="eastAsia" w:ascii="仿宋_GB2312" w:hAnsi="仿宋_GB2312" w:eastAsia="仿宋_GB2312" w:cs="仿宋_GB2312"/>
          <w:i w:val="0"/>
          <w:caps w:val="0"/>
          <w:color w:val="000000"/>
          <w:spacing w:val="0"/>
          <w:sz w:val="32"/>
          <w:szCs w:val="32"/>
          <w:shd w:val="clear" w:fill="FFFFFF"/>
          <w:lang w:eastAsia="zh-CN"/>
        </w:rPr>
        <w:t>，</w:t>
      </w:r>
      <w:r>
        <w:rPr>
          <w:rFonts w:hint="eastAsia" w:ascii="仿宋_GB2312" w:hAnsi="仿宋_GB2312" w:eastAsia="仿宋_GB2312" w:cs="仿宋_GB2312"/>
          <w:i w:val="0"/>
          <w:caps w:val="0"/>
          <w:color w:val="000000"/>
          <w:spacing w:val="0"/>
          <w:sz w:val="32"/>
          <w:szCs w:val="32"/>
          <w:shd w:val="clear" w:fill="FFFFFF"/>
        </w:rPr>
        <w:t>以做好主动公开为核心，以强化载体建设为重点，以完善公开制度为保障，不断深化政府信息公开内容，</w:t>
      </w:r>
      <w:r>
        <w:rPr>
          <w:rFonts w:hint="eastAsia" w:ascii="仿宋_GB2312" w:hAnsi="仿宋_GB2312" w:eastAsia="仿宋_GB2312" w:cs="仿宋_GB2312"/>
          <w:i w:val="0"/>
          <w:caps w:val="0"/>
          <w:color w:val="000000"/>
          <w:spacing w:val="0"/>
          <w:sz w:val="32"/>
          <w:szCs w:val="32"/>
          <w:shd w:val="clear" w:fill="FFFFFF"/>
          <w:lang w:val="en-US" w:eastAsia="zh-CN"/>
        </w:rPr>
        <w:t>紧紧围绕打好“三大攻坚战”，推进精准脱贫信息公开，定期对义务教育、基本医疗、住房安全、农村饮水安全、易地扶贫搬迁、生态环境整治、疫情防控等方面进行信息公开。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firstLine="643" w:firstLineChars="200"/>
        <w:jc w:val="both"/>
        <w:textAlignment w:val="auto"/>
        <w:rPr>
          <w:rFonts w:hint="default"/>
          <w:lang w:val="en-US" w:eastAsia="zh-CN"/>
        </w:rPr>
      </w:pPr>
      <w:r>
        <w:rPr>
          <w:rFonts w:hint="eastAsia" w:ascii="楷体_GB2312" w:hAnsi="楷体_GB2312" w:eastAsia="楷体_GB2312" w:cs="楷体_GB2312"/>
          <w:b/>
          <w:bCs/>
          <w:color w:val="000000"/>
          <w:kern w:val="0"/>
          <w:sz w:val="32"/>
          <w:szCs w:val="32"/>
          <w:lang w:val="en-US" w:eastAsia="zh-CN"/>
        </w:rPr>
        <w:t>（一）加强安排部署部署。</w:t>
      </w:r>
      <w:r>
        <w:rPr>
          <w:rFonts w:hint="eastAsia" w:ascii="仿宋_GB2312" w:hAnsi="仿宋_GB2312" w:eastAsia="仿宋_GB2312" w:cs="仿宋_GB2312"/>
          <w:bCs/>
          <w:sz w:val="32"/>
          <w:szCs w:val="32"/>
          <w:lang w:val="en-US" w:eastAsia="zh-CN"/>
        </w:rPr>
        <w:t>县上分管领导多次安排部署，要求各相关单位</w:t>
      </w:r>
      <w:r>
        <w:rPr>
          <w:rFonts w:hint="eastAsia" w:ascii="仿宋_GB2312" w:hAnsi="仿宋_GB2312" w:eastAsia="仿宋_GB2312" w:cs="仿宋_GB2312"/>
          <w:bCs/>
          <w:sz w:val="32"/>
          <w:szCs w:val="32"/>
          <w:lang w:val="en-US" w:eastAsia="zh-CN"/>
        </w:rPr>
        <w:t>认真中央、省、州相关文件精神，贯彻落实甘肃省政务公开领导小组会议暨全省政务公开工作电视电话会议精神，围绕重大决策公开、重点领域信息公开、政策解读和回应关切、网站和新媒体建设等方面，扎实做好新时代政务公开工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firstLine="643" w:firstLineChars="200"/>
        <w:jc w:val="both"/>
        <w:textAlignment w:val="auto"/>
        <w:rPr>
          <w:rFonts w:hint="eastAsia" w:ascii="楷体_GB2312" w:hAnsi="楷体_GB2312" w:eastAsia="楷体_GB2312" w:cs="楷体_GB2312"/>
          <w:b/>
          <w:bCs/>
          <w:color w:val="000000"/>
          <w:kern w:val="0"/>
          <w:sz w:val="32"/>
          <w:szCs w:val="32"/>
        </w:rPr>
      </w:pPr>
      <w:r>
        <w:rPr>
          <w:rFonts w:hint="eastAsia" w:ascii="楷体_GB2312" w:hAnsi="楷体_GB2312" w:eastAsia="楷体_GB2312" w:cs="楷体_GB2312"/>
          <w:b/>
          <w:bCs/>
          <w:color w:val="000000"/>
          <w:kern w:val="0"/>
          <w:sz w:val="32"/>
          <w:szCs w:val="32"/>
        </w:rPr>
        <w:t>（</w:t>
      </w:r>
      <w:r>
        <w:rPr>
          <w:rFonts w:hint="eastAsia" w:ascii="楷体_GB2312" w:hAnsi="楷体_GB2312" w:eastAsia="楷体_GB2312" w:cs="楷体_GB2312"/>
          <w:b/>
          <w:bCs/>
          <w:color w:val="000000"/>
          <w:kern w:val="0"/>
          <w:sz w:val="32"/>
          <w:szCs w:val="32"/>
          <w:lang w:val="en-US" w:eastAsia="zh-CN"/>
        </w:rPr>
        <w:t>二</w:t>
      </w:r>
      <w:r>
        <w:rPr>
          <w:rFonts w:hint="eastAsia" w:ascii="楷体_GB2312" w:hAnsi="楷体_GB2312" w:eastAsia="楷体_GB2312" w:cs="楷体_GB2312"/>
          <w:b/>
          <w:bCs/>
          <w:color w:val="000000"/>
          <w:kern w:val="0"/>
          <w:sz w:val="32"/>
          <w:szCs w:val="32"/>
        </w:rPr>
        <w:t>）推进政府信息公开网络平台建设。</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firstLine="643" w:firstLineChars="200"/>
        <w:jc w:val="both"/>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
          <w:bCs w:val="0"/>
          <w:sz w:val="32"/>
          <w:szCs w:val="32"/>
          <w:lang w:val="en-US" w:eastAsia="zh-CN"/>
        </w:rPr>
        <w:t>一是</w:t>
      </w:r>
      <w:r>
        <w:rPr>
          <w:rFonts w:hint="eastAsia" w:ascii="仿宋_GB2312" w:hAnsi="仿宋_GB2312" w:eastAsia="仿宋_GB2312" w:cs="仿宋_GB2312"/>
          <w:bCs/>
          <w:sz w:val="32"/>
          <w:szCs w:val="32"/>
          <w:lang w:val="en-US" w:eastAsia="zh-CN"/>
        </w:rPr>
        <w:t>加强门户网站建设。县政府高度重视门户网站建设，加强政府网站日常检查频次，坚持问题导向，强化整改落实，健全完善了信息公开目录、专题专栏等功能。按照省、州统一部署，改版上线政府信息公开栏目，规范政府信息公开内容。完成IPV6改造。</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firstLine="0" w:firstLineChars="0"/>
        <w:jc w:val="center"/>
        <w:textAlignment w:val="auto"/>
      </w:pPr>
      <w:r>
        <w:drawing>
          <wp:inline distT="0" distB="0" distL="114300" distR="114300">
            <wp:extent cx="5266055" cy="1771650"/>
            <wp:effectExtent l="0" t="0" r="1079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6055" cy="1771650"/>
                    </a:xfrm>
                    <a:prstGeom prst="rect">
                      <a:avLst/>
                    </a:prstGeom>
                    <a:noFill/>
                    <a:ln>
                      <a:noFill/>
                    </a:ln>
                  </pic:spPr>
                </pic:pic>
              </a:graphicData>
            </a:graphic>
          </wp:inline>
        </w:drawing>
      </w:r>
    </w:p>
    <w:p>
      <w:pPr>
        <w:pStyle w:val="2"/>
        <w:ind w:left="0" w:leftChars="0" w:firstLine="0" w:firstLineChars="0"/>
        <w:jc w:val="center"/>
        <w:rPr>
          <w:rFonts w:hint="eastAsia"/>
          <w:lang w:val="en-US" w:eastAsia="zh-CN"/>
        </w:rPr>
      </w:pPr>
      <w:r>
        <w:drawing>
          <wp:inline distT="0" distB="0" distL="114300" distR="114300">
            <wp:extent cx="5269230" cy="2450465"/>
            <wp:effectExtent l="0" t="0" r="762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9230" cy="24504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firstLine="643" w:firstLineChars="200"/>
        <w:jc w:val="both"/>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
          <w:bCs w:val="0"/>
          <w:sz w:val="32"/>
          <w:szCs w:val="32"/>
          <w:lang w:val="en-US" w:eastAsia="zh-CN"/>
        </w:rPr>
        <w:t>二是</w:t>
      </w:r>
      <w:r>
        <w:rPr>
          <w:rFonts w:hint="eastAsia" w:ascii="仿宋_GB2312" w:hAnsi="仿宋_GB2312" w:eastAsia="仿宋_GB2312" w:cs="仿宋_GB2312"/>
          <w:bCs/>
          <w:sz w:val="32"/>
          <w:szCs w:val="32"/>
          <w:lang w:val="en-US" w:eastAsia="zh-CN"/>
        </w:rPr>
        <w:t>加强微平台建设。建立健全政务新媒体相关工作制度，不断提升各类政务新媒体的监督和管理水平，确保了各类政务新媒体发布信息及时、运行管理规范。</w:t>
      </w:r>
    </w:p>
    <w:p>
      <w:pPr>
        <w:pStyle w:val="2"/>
        <w:ind w:left="0" w:leftChars="0" w:firstLine="0" w:firstLineChars="0"/>
        <w:jc w:val="center"/>
        <w:rPr>
          <w:rFonts w:hint="eastAsia"/>
          <w:lang w:val="en-US" w:eastAsia="zh-CN"/>
        </w:rPr>
      </w:pPr>
      <w:r>
        <w:rPr>
          <w:rFonts w:hint="eastAsia"/>
          <w:lang w:val="en-US" w:eastAsia="zh-CN"/>
        </w:rPr>
        <w:drawing>
          <wp:inline distT="0" distB="0" distL="114300" distR="114300">
            <wp:extent cx="1852295" cy="3498215"/>
            <wp:effectExtent l="0" t="0" r="14605" b="6985"/>
            <wp:docPr id="11" name="图片 11" descr="bd587cdee98baec10a8d8bae21bbd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d587cdee98baec10a8d8bae21bbd9a"/>
                    <pic:cNvPicPr>
                      <a:picLocks noChangeAspect="1"/>
                    </pic:cNvPicPr>
                  </pic:nvPicPr>
                  <pic:blipFill>
                    <a:blip r:embed="rId7"/>
                    <a:stretch>
                      <a:fillRect/>
                    </a:stretch>
                  </pic:blipFill>
                  <pic:spPr>
                    <a:xfrm>
                      <a:off x="0" y="0"/>
                      <a:ext cx="1852295" cy="3498215"/>
                    </a:xfrm>
                    <a:prstGeom prst="rect">
                      <a:avLst/>
                    </a:prstGeom>
                  </pic:spPr>
                </pic:pic>
              </a:graphicData>
            </a:graphic>
          </wp:inline>
        </w:drawing>
      </w:r>
      <w:r>
        <w:rPr>
          <w:rFonts w:hint="eastAsia"/>
          <w:lang w:val="en-US" w:eastAsia="zh-CN"/>
        </w:rPr>
        <w:drawing>
          <wp:inline distT="0" distB="0" distL="114300" distR="114300">
            <wp:extent cx="1891030" cy="3503930"/>
            <wp:effectExtent l="0" t="0" r="13970" b="1270"/>
            <wp:docPr id="12" name="图片 12" descr="e172a428a58e1beb21aa8358893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172a428a58e1beb21aa83588932636"/>
                    <pic:cNvPicPr>
                      <a:picLocks noChangeAspect="1"/>
                    </pic:cNvPicPr>
                  </pic:nvPicPr>
                  <pic:blipFill>
                    <a:blip r:embed="rId8"/>
                    <a:stretch>
                      <a:fillRect/>
                    </a:stretch>
                  </pic:blipFill>
                  <pic:spPr>
                    <a:xfrm>
                      <a:off x="0" y="0"/>
                      <a:ext cx="1891030" cy="350393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firstLine="643" w:firstLineChars="200"/>
        <w:jc w:val="both"/>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
          <w:bCs w:val="0"/>
          <w:sz w:val="32"/>
          <w:szCs w:val="32"/>
          <w:lang w:val="en-US" w:eastAsia="zh-CN"/>
        </w:rPr>
        <w:t>三是</w:t>
      </w:r>
      <w:r>
        <w:rPr>
          <w:rFonts w:hint="eastAsia" w:ascii="仿宋_GB2312" w:hAnsi="仿宋_GB2312" w:eastAsia="仿宋_GB2312" w:cs="仿宋_GB2312"/>
          <w:bCs/>
          <w:sz w:val="32"/>
          <w:szCs w:val="32"/>
          <w:lang w:val="en-US" w:eastAsia="zh-CN"/>
        </w:rPr>
        <w:t>发挥传统媒体作用。县政府办协调各新闻单位，及时提供宣传选题和素材、新闻通稿、接受采访或者组织集体采访，不断提升积石山的宣传影响力，办好《积石山新闻》，发挥电视台视频应有的传播效应。</w:t>
      </w:r>
    </w:p>
    <w:p>
      <w:pPr>
        <w:pStyle w:val="2"/>
        <w:ind w:left="0" w:leftChars="0" w:firstLine="0" w:firstLineChars="0"/>
        <w:jc w:val="center"/>
        <w:rPr>
          <w:rFonts w:hint="eastAsia"/>
          <w:lang w:val="en-US" w:eastAsia="zh-CN"/>
        </w:rPr>
      </w:pPr>
      <w:r>
        <w:drawing>
          <wp:inline distT="0" distB="0" distL="114300" distR="114300">
            <wp:extent cx="5268595" cy="2851785"/>
            <wp:effectExtent l="0" t="0" r="8255" b="571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9"/>
                    <a:stretch>
                      <a:fillRect/>
                    </a:stretch>
                  </pic:blipFill>
                  <pic:spPr>
                    <a:xfrm>
                      <a:off x="0" y="0"/>
                      <a:ext cx="5268595" cy="2851785"/>
                    </a:xfrm>
                    <a:prstGeom prst="rect">
                      <a:avLst/>
                    </a:prstGeom>
                    <a:noFill/>
                    <a:ln>
                      <a:noFill/>
                    </a:ln>
                  </pic:spPr>
                </pic:pic>
              </a:graphicData>
            </a:graphic>
          </wp:inline>
        </w:drawing>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600" w:lineRule="atLeast"/>
        <w:ind w:firstLine="643" w:firstLineChars="200"/>
        <w:jc w:val="both"/>
        <w:textAlignment w:val="auto"/>
        <w:rPr>
          <w:rFonts w:hint="eastAsia" w:ascii="楷体_GB2312" w:hAnsi="楷体_GB2312" w:eastAsia="楷体_GB2312" w:cs="楷体_GB2312"/>
          <w:b/>
          <w:bCs/>
          <w:color w:val="000000"/>
          <w:sz w:val="32"/>
          <w:szCs w:val="32"/>
        </w:rPr>
      </w:pPr>
      <w:r>
        <w:rPr>
          <w:rFonts w:hint="eastAsia" w:ascii="楷体_GB2312" w:hAnsi="楷体_GB2312" w:eastAsia="楷体_GB2312" w:cs="楷体_GB2312"/>
          <w:b/>
          <w:bCs/>
          <w:color w:val="000000"/>
          <w:sz w:val="32"/>
          <w:szCs w:val="32"/>
        </w:rPr>
        <w:t>（</w:t>
      </w:r>
      <w:r>
        <w:rPr>
          <w:rFonts w:hint="eastAsia" w:ascii="楷体_GB2312" w:hAnsi="楷体_GB2312" w:eastAsia="楷体_GB2312" w:cs="楷体_GB2312"/>
          <w:b/>
          <w:bCs/>
          <w:color w:val="000000"/>
          <w:sz w:val="32"/>
          <w:szCs w:val="32"/>
          <w:lang w:val="en-US" w:eastAsia="zh-CN"/>
        </w:rPr>
        <w:t>四</w:t>
      </w:r>
      <w:r>
        <w:rPr>
          <w:rFonts w:hint="eastAsia" w:ascii="楷体_GB2312" w:hAnsi="楷体_GB2312" w:eastAsia="楷体_GB2312" w:cs="楷体_GB2312"/>
          <w:b/>
          <w:bCs/>
          <w:color w:val="000000"/>
          <w:sz w:val="32"/>
          <w:szCs w:val="32"/>
        </w:rPr>
        <w:t>）</w:t>
      </w:r>
      <w:r>
        <w:rPr>
          <w:rFonts w:hint="eastAsia" w:ascii="楷体_GB2312" w:hAnsi="楷体_GB2312" w:eastAsia="楷体_GB2312" w:cs="楷体_GB2312"/>
          <w:b/>
          <w:bCs/>
          <w:color w:val="000000"/>
          <w:sz w:val="32"/>
          <w:szCs w:val="32"/>
          <w:lang w:val="en-US" w:eastAsia="zh-CN"/>
        </w:rPr>
        <w:t>规范</w:t>
      </w:r>
      <w:r>
        <w:rPr>
          <w:rFonts w:hint="eastAsia" w:ascii="楷体_GB2312" w:hAnsi="楷体_GB2312" w:eastAsia="楷体_GB2312" w:cs="楷体_GB2312"/>
          <w:b/>
          <w:bCs/>
          <w:color w:val="000000"/>
          <w:sz w:val="32"/>
          <w:szCs w:val="32"/>
        </w:rPr>
        <w:t>信息公开</w:t>
      </w:r>
      <w:r>
        <w:rPr>
          <w:rFonts w:hint="eastAsia" w:ascii="楷体_GB2312" w:hAnsi="楷体_GB2312" w:eastAsia="楷体_GB2312" w:cs="楷体_GB2312"/>
          <w:b/>
          <w:bCs/>
          <w:color w:val="000000"/>
          <w:sz w:val="32"/>
          <w:szCs w:val="32"/>
          <w:lang w:val="en-US" w:eastAsia="zh-CN"/>
        </w:rPr>
        <w:t>内容</w:t>
      </w:r>
      <w:r>
        <w:rPr>
          <w:rFonts w:hint="eastAsia" w:ascii="楷体_GB2312" w:hAnsi="楷体_GB2312" w:eastAsia="楷体_GB2312" w:cs="楷体_GB2312"/>
          <w:b/>
          <w:bCs/>
          <w:color w:val="000000"/>
          <w:sz w:val="32"/>
          <w:szCs w:val="32"/>
        </w:rPr>
        <w:t>。</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600" w:lineRule="atLeast"/>
        <w:ind w:firstLine="643"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color w:val="000000"/>
          <w:sz w:val="32"/>
          <w:szCs w:val="32"/>
        </w:rPr>
        <w:t>一是</w:t>
      </w:r>
      <w:r>
        <w:rPr>
          <w:rFonts w:hint="eastAsia" w:ascii="仿宋_GB2312" w:hAnsi="仿宋_GB2312" w:eastAsia="仿宋_GB2312" w:cs="仿宋_GB2312"/>
          <w:color w:val="000000"/>
          <w:sz w:val="32"/>
          <w:szCs w:val="32"/>
        </w:rPr>
        <w:t>规范重点领域信息公开工作。印发了《积石山县政务公开实施方案》，明确每一个乡镇每一个部门的工作任务，一级抓一级，层层抓落实。</w:t>
      </w:r>
      <w:r>
        <w:rPr>
          <w:rFonts w:hint="eastAsia" w:ascii="仿宋_GB2312" w:hAnsi="仿宋_GB2312" w:eastAsia="仿宋_GB2312" w:cs="仿宋_GB2312"/>
          <w:sz w:val="32"/>
          <w:szCs w:val="32"/>
          <w:lang w:val="en-US" w:eastAsia="zh-CN"/>
        </w:rPr>
        <w:t>组织各部门、各乡镇完成26个试点领域基层政务公开标准目录及17个乡镇试点领域基层政务公开标准目录</w:t>
      </w:r>
      <w:r>
        <w:rPr>
          <w:rFonts w:hint="eastAsia" w:ascii="仿宋_GB2312" w:hAnsi="仿宋_GB2312" w:eastAsia="仿宋_GB2312" w:cs="仿宋_GB2312"/>
          <w:sz w:val="32"/>
          <w:szCs w:val="32"/>
          <w:lang w:eastAsia="zh-CN"/>
        </w:rPr>
        <w:t>。</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600" w:lineRule="atLeast"/>
        <w:jc w:val="center"/>
        <w:textAlignment w:val="auto"/>
      </w:pPr>
      <w:r>
        <w:drawing>
          <wp:inline distT="0" distB="0" distL="114300" distR="114300">
            <wp:extent cx="2035175" cy="3115310"/>
            <wp:effectExtent l="0" t="0" r="3175"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2035175" cy="3115310"/>
                    </a:xfrm>
                    <a:prstGeom prst="rect">
                      <a:avLst/>
                    </a:prstGeom>
                    <a:noFill/>
                    <a:ln>
                      <a:noFill/>
                    </a:ln>
                  </pic:spPr>
                </pic:pic>
              </a:graphicData>
            </a:graphic>
          </wp:inline>
        </w:drawing>
      </w:r>
      <w:r>
        <w:drawing>
          <wp:inline distT="0" distB="0" distL="114300" distR="114300">
            <wp:extent cx="2132330" cy="3155950"/>
            <wp:effectExtent l="0" t="0" r="1270" b="635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1"/>
                    <a:stretch>
                      <a:fillRect/>
                    </a:stretch>
                  </pic:blipFill>
                  <pic:spPr>
                    <a:xfrm>
                      <a:off x="0" y="0"/>
                      <a:ext cx="2132330" cy="3155950"/>
                    </a:xfrm>
                    <a:prstGeom prst="rect">
                      <a:avLst/>
                    </a:prstGeom>
                    <a:noFill/>
                    <a:ln>
                      <a:noFill/>
                    </a:ln>
                  </pic:spPr>
                </pic:pic>
              </a:graphicData>
            </a:graphic>
          </wp:inline>
        </w:drawing>
      </w:r>
      <w:r>
        <w:drawing>
          <wp:inline distT="0" distB="0" distL="114300" distR="114300">
            <wp:extent cx="5274310" cy="3312160"/>
            <wp:effectExtent l="0" t="0" r="2540" b="254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2"/>
                    <a:stretch>
                      <a:fillRect/>
                    </a:stretch>
                  </pic:blipFill>
                  <pic:spPr>
                    <a:xfrm>
                      <a:off x="0" y="0"/>
                      <a:ext cx="5274310" cy="3312160"/>
                    </a:xfrm>
                    <a:prstGeom prst="rect">
                      <a:avLst/>
                    </a:prstGeom>
                    <a:noFill/>
                    <a:ln>
                      <a:noFill/>
                    </a:ln>
                  </pic:spPr>
                </pic:pic>
              </a:graphicData>
            </a:graphic>
          </wp:inline>
        </w:drawing>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600" w:lineRule="atLeast"/>
        <w:jc w:val="center"/>
        <w:textAlignment w:val="auto"/>
        <w:rPr>
          <w:rFonts w:hint="eastAsia"/>
          <w:lang w:eastAsia="zh-CN"/>
        </w:rPr>
      </w:pPr>
      <w:r>
        <w:drawing>
          <wp:inline distT="0" distB="0" distL="114300" distR="114300">
            <wp:extent cx="5271770" cy="4524375"/>
            <wp:effectExtent l="0" t="0" r="5080" b="9525"/>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3"/>
                    <a:stretch>
                      <a:fillRect/>
                    </a:stretch>
                  </pic:blipFill>
                  <pic:spPr>
                    <a:xfrm>
                      <a:off x="0" y="0"/>
                      <a:ext cx="5271770" cy="4524375"/>
                    </a:xfrm>
                    <a:prstGeom prst="rect">
                      <a:avLst/>
                    </a:prstGeom>
                    <a:noFill/>
                    <a:ln>
                      <a:noFill/>
                    </a:ln>
                  </pic:spPr>
                </pic:pic>
              </a:graphicData>
            </a:graphic>
          </wp:inline>
        </w:drawing>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600" w:lineRule="atLeast"/>
        <w:ind w:firstLine="643"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二是</w:t>
      </w:r>
      <w:r>
        <w:rPr>
          <w:rFonts w:hint="eastAsia" w:ascii="仿宋_GB2312" w:hAnsi="仿宋_GB2312" w:eastAsia="仿宋_GB2312" w:cs="仿宋_GB2312"/>
          <w:color w:val="000000"/>
          <w:sz w:val="32"/>
          <w:szCs w:val="32"/>
        </w:rPr>
        <w:t>推进财政、审计信息公开。进一步加大部门预决算、“三公”经费、专项资金管理使用等信息公开力度，进一步规范公开形式，细化公开内容，将财政预决算及时在政府门户网上公开。</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600" w:lineRule="atLeast"/>
        <w:jc w:val="center"/>
        <w:textAlignment w:val="auto"/>
        <w:rPr>
          <w:rFonts w:hint="eastAsia" w:ascii="仿宋_GB2312" w:hAnsi="仿宋_GB2312" w:eastAsia="仿宋_GB2312" w:cs="仿宋_GB2312"/>
          <w:color w:val="000000"/>
          <w:sz w:val="32"/>
          <w:szCs w:val="32"/>
        </w:rPr>
      </w:pPr>
      <w:r>
        <w:drawing>
          <wp:inline distT="0" distB="0" distL="114300" distR="114300">
            <wp:extent cx="5273040" cy="1892300"/>
            <wp:effectExtent l="0" t="0" r="381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273040" cy="1892300"/>
                    </a:xfrm>
                    <a:prstGeom prst="rect">
                      <a:avLst/>
                    </a:prstGeom>
                    <a:noFill/>
                    <a:ln>
                      <a:noFill/>
                    </a:ln>
                  </pic:spPr>
                </pic:pic>
              </a:graphicData>
            </a:graphic>
          </wp:inline>
        </w:drawing>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600" w:lineRule="atLeas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color w:val="000000"/>
          <w:sz w:val="32"/>
          <w:szCs w:val="32"/>
          <w:lang w:val="en-US" w:eastAsia="zh-CN"/>
        </w:rPr>
        <w:t>三</w:t>
      </w:r>
      <w:r>
        <w:rPr>
          <w:rFonts w:hint="eastAsia" w:ascii="仿宋_GB2312" w:hAnsi="仿宋_GB2312" w:eastAsia="仿宋_GB2312" w:cs="仿宋_GB2312"/>
          <w:b/>
          <w:bCs/>
          <w:color w:val="000000"/>
          <w:sz w:val="32"/>
          <w:szCs w:val="32"/>
        </w:rPr>
        <w:t>是</w:t>
      </w:r>
      <w:r>
        <w:rPr>
          <w:rFonts w:hint="eastAsia" w:ascii="仿宋_GB2312" w:hAnsi="仿宋_GB2312" w:eastAsia="仿宋_GB2312" w:cs="仿宋_GB2312"/>
          <w:sz w:val="32"/>
          <w:szCs w:val="32"/>
          <w:lang w:val="en-US" w:eastAsia="zh-CN"/>
        </w:rPr>
        <w:t>2020年我县主动公开信息数2682条，其中，政府网站公开931条，政务新媒体公开105条，短视频、公示栏、报纸、电视等方式公开1585条，</w:t>
      </w:r>
      <w:r>
        <w:rPr>
          <w:rFonts w:hint="default" w:ascii="仿宋_GB2312" w:hAnsi="仿宋_GB2312" w:eastAsia="仿宋_GB2312" w:cs="仿宋_GB2312"/>
          <w:sz w:val="32"/>
          <w:szCs w:val="32"/>
          <w:lang w:eastAsia="zh-CN"/>
        </w:rPr>
        <w:t>回应公众关注热点或</w:t>
      </w:r>
      <w:r>
        <w:rPr>
          <w:rFonts w:hint="eastAsia" w:ascii="仿宋_GB2312" w:hAnsi="仿宋_GB2312" w:eastAsia="仿宋_GB2312" w:cs="仿宋_GB2312"/>
          <w:sz w:val="32"/>
          <w:szCs w:val="32"/>
          <w:lang w:val="en-US" w:eastAsia="zh-CN"/>
        </w:rPr>
        <w:t>重大舆情数61条。</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600" w:lineRule="atLeast"/>
        <w:jc w:val="center"/>
        <w:textAlignment w:val="auto"/>
        <w:rPr>
          <w:rFonts w:hint="eastAsia" w:ascii="仿宋_GB2312" w:hAnsi="仿宋_GB2312" w:eastAsia="仿宋_GB2312" w:cs="仿宋_GB2312"/>
          <w:sz w:val="32"/>
          <w:szCs w:val="32"/>
          <w:lang w:val="en-US" w:eastAsia="zh-CN"/>
        </w:rPr>
      </w:pPr>
      <w:r>
        <w:drawing>
          <wp:inline distT="0" distB="0" distL="114300" distR="114300">
            <wp:extent cx="5270500" cy="3154680"/>
            <wp:effectExtent l="0" t="0" r="635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270500" cy="3154680"/>
                    </a:xfrm>
                    <a:prstGeom prst="rect">
                      <a:avLst/>
                    </a:prstGeom>
                    <a:noFill/>
                    <a:ln>
                      <a:noFill/>
                    </a:ln>
                  </pic:spPr>
                </pic:pic>
              </a:graphicData>
            </a:graphic>
          </wp:inline>
        </w:drawing>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600" w:lineRule="atLeas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color w:val="000000"/>
          <w:kern w:val="0"/>
          <w:sz w:val="32"/>
          <w:szCs w:val="32"/>
          <w:lang w:val="en-US" w:eastAsia="zh-CN" w:bidi="ar-SA"/>
        </w:rPr>
        <w:t>（五）加强政策解读工作。</w:t>
      </w:r>
      <w:r>
        <w:rPr>
          <w:rFonts w:hint="eastAsia" w:ascii="仿宋_GB2312" w:hAnsi="仿宋_GB2312" w:eastAsia="仿宋_GB2312" w:cs="仿宋_GB2312"/>
          <w:sz w:val="32"/>
          <w:szCs w:val="32"/>
          <w:lang w:val="en-US" w:eastAsia="zh-CN"/>
        </w:rPr>
        <w:t>坚持“谁起草、谁解读”原则，与政策制定同步制定解读方案，加强议题设置，采取主要负责同志解读、图表解读、文字解答、多媒体解读等多种方式，重点解读政策主要内容、具体规定、涉及对象范围、惠民利民举措、新老政策差异，及时做好科学解读，有效开展舆论引导。</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jc w:val="center"/>
        <w:textAlignment w:val="auto"/>
      </w:pPr>
      <w:r>
        <w:drawing>
          <wp:inline distT="0" distB="0" distL="114300" distR="114300">
            <wp:extent cx="5272405" cy="1485900"/>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72405" cy="1485900"/>
                    </a:xfrm>
                    <a:prstGeom prst="rect">
                      <a:avLst/>
                    </a:prstGeom>
                    <a:noFill/>
                    <a:ln>
                      <a:noFill/>
                    </a:ln>
                  </pic:spPr>
                </pic:pic>
              </a:graphicData>
            </a:graphic>
          </wp:inline>
        </w:drawing>
      </w:r>
    </w:p>
    <w:p>
      <w:pPr>
        <w:pStyle w:val="2"/>
        <w:ind w:left="0" w:leftChars="0" w:firstLine="0" w:firstLineChars="0"/>
        <w:jc w:val="center"/>
      </w:pPr>
      <w:r>
        <w:drawing>
          <wp:inline distT="0" distB="0" distL="114300" distR="114300">
            <wp:extent cx="5271770" cy="1302385"/>
            <wp:effectExtent l="0" t="0" r="5080"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5271770" cy="1302385"/>
                    </a:xfrm>
                    <a:prstGeom prst="rect">
                      <a:avLst/>
                    </a:prstGeom>
                    <a:noFill/>
                    <a:ln>
                      <a:noFill/>
                    </a:ln>
                  </pic:spPr>
                </pic:pic>
              </a:graphicData>
            </a:graphic>
          </wp:inline>
        </w:drawing>
      </w:r>
    </w:p>
    <w:p>
      <w:pPr>
        <w:pStyle w:val="2"/>
        <w:ind w:left="0" w:leftChars="0" w:firstLine="0" w:firstLineChars="0"/>
        <w:jc w:val="center"/>
      </w:pPr>
      <w:r>
        <w:drawing>
          <wp:inline distT="0" distB="0" distL="114300" distR="114300">
            <wp:extent cx="5272405" cy="1529715"/>
            <wp:effectExtent l="0" t="0" r="4445"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272405" cy="1529715"/>
                    </a:xfrm>
                    <a:prstGeom prst="rect">
                      <a:avLst/>
                    </a:prstGeom>
                    <a:noFill/>
                    <a:ln>
                      <a:noFill/>
                    </a:ln>
                  </pic:spPr>
                </pic:pic>
              </a:graphicData>
            </a:graphic>
          </wp:inline>
        </w:drawing>
      </w:r>
    </w:p>
    <w:p>
      <w:pPr>
        <w:pStyle w:val="2"/>
        <w:ind w:left="0" w:leftChars="0" w:firstLine="0" w:firstLineChars="0"/>
        <w:jc w:val="center"/>
        <w:rPr>
          <w:rFonts w:hint="eastAsia"/>
        </w:rPr>
      </w:pPr>
      <w:r>
        <w:drawing>
          <wp:inline distT="0" distB="0" distL="114300" distR="114300">
            <wp:extent cx="5273040" cy="1527175"/>
            <wp:effectExtent l="0" t="0" r="3810" b="158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5273040" cy="15271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firstLine="643" w:firstLineChars="200"/>
        <w:jc w:val="both"/>
        <w:textAlignment w:val="auto"/>
        <w:rPr>
          <w:rFonts w:hint="eastAsia" w:ascii="仿宋_GB2312" w:hAnsi="仿宋_GB2312" w:eastAsia="仿宋_GB2312" w:cs="仿宋_GB2312"/>
          <w:b w:val="0"/>
          <w:bCs w:val="0"/>
          <w:color w:val="000000"/>
          <w:kern w:val="0"/>
          <w:sz w:val="32"/>
          <w:szCs w:val="32"/>
        </w:rPr>
      </w:pPr>
      <w:r>
        <w:rPr>
          <w:rFonts w:hint="eastAsia" w:ascii="楷体_GB2312" w:hAnsi="楷体_GB2312" w:eastAsia="楷体_GB2312" w:cs="楷体_GB2312"/>
          <w:b/>
          <w:bCs/>
          <w:color w:val="000000"/>
          <w:kern w:val="0"/>
          <w:sz w:val="32"/>
          <w:szCs w:val="32"/>
        </w:rPr>
        <w:t>（</w:t>
      </w:r>
      <w:r>
        <w:rPr>
          <w:rFonts w:hint="eastAsia" w:ascii="楷体_GB2312" w:hAnsi="楷体_GB2312" w:eastAsia="楷体_GB2312" w:cs="楷体_GB2312"/>
          <w:b/>
          <w:bCs/>
          <w:color w:val="000000"/>
          <w:kern w:val="0"/>
          <w:sz w:val="32"/>
          <w:szCs w:val="32"/>
          <w:lang w:val="en-US" w:eastAsia="zh-CN"/>
        </w:rPr>
        <w:t>六</w:t>
      </w:r>
      <w:r>
        <w:rPr>
          <w:rFonts w:hint="eastAsia" w:ascii="楷体_GB2312" w:hAnsi="楷体_GB2312" w:eastAsia="楷体_GB2312" w:cs="楷体_GB2312"/>
          <w:b/>
          <w:bCs/>
          <w:color w:val="000000"/>
          <w:kern w:val="0"/>
          <w:sz w:val="32"/>
          <w:szCs w:val="32"/>
        </w:rPr>
        <w:t>）加强回应关切工作。</w:t>
      </w:r>
      <w:r>
        <w:rPr>
          <w:rFonts w:hint="eastAsia" w:ascii="仿宋_GB2312" w:hAnsi="仿宋_GB2312" w:eastAsia="仿宋_GB2312" w:cs="仿宋_GB2312"/>
          <w:b w:val="0"/>
          <w:bCs w:val="0"/>
          <w:color w:val="000000"/>
          <w:kern w:val="0"/>
          <w:sz w:val="32"/>
          <w:szCs w:val="32"/>
        </w:rPr>
        <w:t>县</w:t>
      </w:r>
      <w:r>
        <w:rPr>
          <w:rFonts w:hint="eastAsia" w:ascii="仿宋_GB2312" w:hAnsi="仿宋_GB2312" w:eastAsia="仿宋_GB2312" w:cs="仿宋_GB2312"/>
          <w:b w:val="0"/>
          <w:bCs w:val="0"/>
          <w:color w:val="000000"/>
          <w:kern w:val="0"/>
          <w:sz w:val="32"/>
          <w:szCs w:val="32"/>
          <w:lang w:val="en-US" w:eastAsia="zh-CN"/>
        </w:rPr>
        <w:t>政府办公室</w:t>
      </w:r>
      <w:r>
        <w:rPr>
          <w:rFonts w:hint="eastAsia" w:ascii="仿宋_GB2312" w:hAnsi="仿宋_GB2312" w:eastAsia="仿宋_GB2312" w:cs="仿宋_GB2312"/>
          <w:b w:val="0"/>
          <w:bCs w:val="0"/>
          <w:color w:val="000000"/>
          <w:kern w:val="0"/>
          <w:sz w:val="32"/>
          <w:szCs w:val="32"/>
        </w:rPr>
        <w:t>主动与新闻宣传部门沟通联系，探索建立政府信息发布和舆情处置联动机制，共同做好政府信息发布和舆论引导工作。在重大舆情处置中，加强舆情收集和研判，注意把握时、度、效，通过门户网站、政务</w:t>
      </w:r>
      <w:r>
        <w:rPr>
          <w:rFonts w:hint="eastAsia" w:ascii="仿宋_GB2312" w:hAnsi="仿宋_GB2312" w:eastAsia="仿宋_GB2312" w:cs="仿宋_GB2312"/>
          <w:b w:val="0"/>
          <w:bCs w:val="0"/>
          <w:color w:val="000000"/>
          <w:kern w:val="0"/>
          <w:sz w:val="32"/>
          <w:szCs w:val="32"/>
          <w:lang w:val="en-US" w:eastAsia="zh-CN"/>
        </w:rPr>
        <w:t>新媒体</w:t>
      </w:r>
      <w:r>
        <w:rPr>
          <w:rFonts w:hint="eastAsia" w:ascii="仿宋_GB2312" w:hAnsi="仿宋_GB2312" w:eastAsia="仿宋_GB2312" w:cs="仿宋_GB2312"/>
          <w:b w:val="0"/>
          <w:bCs w:val="0"/>
          <w:color w:val="000000"/>
          <w:kern w:val="0"/>
          <w:sz w:val="32"/>
          <w:szCs w:val="32"/>
        </w:rPr>
        <w:t>等渠道第一时间发布准确信息，及时回应关切。</w:t>
      </w:r>
    </w:p>
    <w:p>
      <w:pPr>
        <w:pStyle w:val="2"/>
        <w:ind w:left="0" w:leftChars="0" w:firstLine="0" w:firstLineChars="0"/>
        <w:jc w:val="center"/>
        <w:rPr>
          <w:rFonts w:hint="eastAsia"/>
        </w:rPr>
      </w:pPr>
      <w:r>
        <w:drawing>
          <wp:inline distT="0" distB="0" distL="114300" distR="114300">
            <wp:extent cx="5273040" cy="2345690"/>
            <wp:effectExtent l="0" t="0" r="3810" b="165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5273040" cy="23456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firstLine="640" w:firstLineChars="200"/>
        <w:jc w:val="both"/>
        <w:textAlignment w:val="auto"/>
        <w:rPr>
          <w:rFonts w:hint="eastAsia" w:ascii="黑体" w:hAnsi="黑体" w:eastAsia="黑体" w:cs="黑体"/>
          <w:i w:val="0"/>
          <w:caps w:val="0"/>
          <w:color w:val="000000"/>
          <w:spacing w:val="0"/>
          <w:sz w:val="32"/>
          <w:szCs w:val="32"/>
          <w:shd w:val="clear" w:fill="FFFFFF"/>
        </w:rPr>
      </w:pPr>
      <w:r>
        <w:rPr>
          <w:rFonts w:hint="eastAsia" w:ascii="黑体" w:hAnsi="黑体" w:eastAsia="黑体" w:cs="黑体"/>
          <w:i w:val="0"/>
          <w:caps w:val="0"/>
          <w:color w:val="000000"/>
          <w:spacing w:val="0"/>
          <w:sz w:val="32"/>
          <w:szCs w:val="32"/>
          <w:shd w:val="clear" w:fill="FFFFFF"/>
        </w:rPr>
        <w:t>二、主动公开政府信息情况</w:t>
      </w:r>
    </w:p>
    <w:tbl>
      <w:tblPr>
        <w:tblStyle w:val="6"/>
        <w:tblW w:w="8140" w:type="dxa"/>
        <w:jc w:val="center"/>
        <w:tblLayout w:type="autofit"/>
        <w:tblCellMar>
          <w:top w:w="0" w:type="dxa"/>
          <w:left w:w="0" w:type="dxa"/>
          <w:bottom w:w="0" w:type="dxa"/>
          <w:right w:w="0" w:type="dxa"/>
        </w:tblCellMar>
      </w:tblPr>
      <w:tblGrid>
        <w:gridCol w:w="3113"/>
        <w:gridCol w:w="1875"/>
        <w:gridCol w:w="6"/>
        <w:gridCol w:w="1265"/>
        <w:gridCol w:w="1881"/>
      </w:tblGrid>
      <w:tr>
        <w:tblPrEx>
          <w:tblCellMar>
            <w:top w:w="0" w:type="dxa"/>
            <w:left w:w="0" w:type="dxa"/>
            <w:bottom w:w="0" w:type="dxa"/>
            <w:right w:w="0" w:type="dxa"/>
          </w:tblCellMar>
        </w:tblPrEx>
        <w:trPr>
          <w:trHeight w:val="495" w:hRule="atLeast"/>
          <w:jc w:val="center"/>
        </w:trPr>
        <w:tc>
          <w:tcPr>
            <w:tcW w:w="8140" w:type="dxa"/>
            <w:gridSpan w:val="5"/>
            <w:tcBorders>
              <w:top w:val="single" w:color="auto" w:sz="8" w:space="0"/>
              <w:left w:val="single" w:color="auto" w:sz="8" w:space="0"/>
              <w:bottom w:val="single" w:color="auto" w:sz="8" w:space="0"/>
              <w:right w:val="single" w:color="auto" w:sz="8" w:space="0"/>
            </w:tcBorders>
            <w:shd w:val="clear" w:color="auto" w:fill="C6D9F1"/>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第二十条第（一）项</w:t>
            </w:r>
          </w:p>
        </w:tc>
      </w:tr>
      <w:tr>
        <w:tblPrEx>
          <w:tblCellMar>
            <w:top w:w="0" w:type="dxa"/>
            <w:left w:w="0" w:type="dxa"/>
            <w:bottom w:w="0" w:type="dxa"/>
            <w:right w:w="0" w:type="dxa"/>
          </w:tblCellMar>
        </w:tblPrEx>
        <w:trPr>
          <w:trHeight w:val="882"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信息内容</w:t>
            </w:r>
          </w:p>
        </w:tc>
        <w:tc>
          <w:tcPr>
            <w:tcW w:w="1875" w:type="dxa"/>
            <w:tcBorders>
              <w:top w:val="single" w:color="auto" w:sz="8" w:space="0"/>
              <w:left w:val="nil"/>
              <w:bottom w:val="single" w:color="auto" w:sz="8" w:space="0"/>
              <w:right w:val="single" w:color="auto"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本年新</w:t>
            </w:r>
            <w:r>
              <w:rPr>
                <w:rFonts w:hint="eastAsia" w:ascii="宋体"/>
                <w:sz w:val="24"/>
                <w:szCs w:val="24"/>
                <w:lang w:val="en-US" w:eastAsia="zh-CN"/>
              </w:rPr>
              <w:br w:type="textWrapping"/>
            </w:r>
            <w:r>
              <w:rPr>
                <w:rFonts w:hint="eastAsia" w:ascii="宋体"/>
                <w:sz w:val="24"/>
                <w:szCs w:val="24"/>
                <w:lang w:val="en-US" w:eastAsia="zh-CN"/>
              </w:rPr>
              <w:t>制作数量</w:t>
            </w:r>
          </w:p>
        </w:tc>
        <w:tc>
          <w:tcPr>
            <w:tcW w:w="1271" w:type="dxa"/>
            <w:gridSpan w:val="2"/>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本年新</w:t>
            </w:r>
            <w:r>
              <w:rPr>
                <w:rFonts w:hint="eastAsia" w:ascii="宋体"/>
                <w:sz w:val="24"/>
                <w:szCs w:val="24"/>
                <w:lang w:val="en-US" w:eastAsia="zh-CN"/>
              </w:rPr>
              <w:br w:type="textWrapping"/>
            </w:r>
            <w:r>
              <w:rPr>
                <w:rFonts w:hint="eastAsia" w:ascii="宋体"/>
                <w:sz w:val="24"/>
                <w:szCs w:val="24"/>
                <w:lang w:val="en-US" w:eastAsia="zh-CN"/>
              </w:rPr>
              <w:t>公开数量</w:t>
            </w:r>
          </w:p>
        </w:tc>
        <w:tc>
          <w:tcPr>
            <w:tcW w:w="1881" w:type="dxa"/>
            <w:tcBorders>
              <w:top w:val="nil"/>
              <w:left w:val="nil"/>
              <w:bottom w:val="single" w:color="auto" w:sz="8" w:space="0"/>
              <w:right w:val="single" w:color="auto"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对外公开总数量</w:t>
            </w:r>
          </w:p>
        </w:tc>
      </w:tr>
      <w:tr>
        <w:tblPrEx>
          <w:tblCellMar>
            <w:top w:w="0" w:type="dxa"/>
            <w:left w:w="0" w:type="dxa"/>
            <w:bottom w:w="0" w:type="dxa"/>
            <w:right w:w="0" w:type="dxa"/>
          </w:tblCellMar>
        </w:tblPrEx>
        <w:trPr>
          <w:trHeight w:val="523"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规章</w:t>
            </w:r>
          </w:p>
        </w:tc>
        <w:tc>
          <w:tcPr>
            <w:tcW w:w="1875" w:type="dxa"/>
            <w:tcBorders>
              <w:top w:val="nil"/>
              <w:left w:val="nil"/>
              <w:bottom w:val="single" w:color="auto" w:sz="8" w:space="0"/>
              <w:right w:val="single" w:color="auto" w:sz="8" w:space="0"/>
            </w:tcBorders>
            <w:noWrap/>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0</w:t>
            </w:r>
          </w:p>
        </w:tc>
        <w:tc>
          <w:tcPr>
            <w:tcW w:w="1271" w:type="dxa"/>
            <w:gridSpan w:val="2"/>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0</w:t>
            </w:r>
          </w:p>
        </w:tc>
        <w:tc>
          <w:tcPr>
            <w:tcW w:w="1881" w:type="dxa"/>
            <w:tcBorders>
              <w:top w:val="nil"/>
              <w:left w:val="nil"/>
              <w:bottom w:val="single" w:color="auto" w:sz="8" w:space="0"/>
              <w:right w:val="single" w:color="auto" w:sz="8" w:space="0"/>
            </w:tcBorders>
            <w:noWrap/>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0</w:t>
            </w:r>
          </w:p>
        </w:tc>
      </w:tr>
      <w:tr>
        <w:tblPrEx>
          <w:tblCellMar>
            <w:top w:w="0" w:type="dxa"/>
            <w:left w:w="0" w:type="dxa"/>
            <w:bottom w:w="0" w:type="dxa"/>
            <w:right w:w="0" w:type="dxa"/>
          </w:tblCellMar>
        </w:tblPrEx>
        <w:trPr>
          <w:trHeight w:val="471"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规范性文件</w:t>
            </w:r>
          </w:p>
        </w:tc>
        <w:tc>
          <w:tcPr>
            <w:tcW w:w="1875" w:type="dxa"/>
            <w:tcBorders>
              <w:top w:val="nil"/>
              <w:left w:val="nil"/>
              <w:bottom w:val="single" w:color="auto" w:sz="8" w:space="0"/>
              <w:right w:val="single" w:color="auto" w:sz="8" w:space="0"/>
            </w:tcBorders>
            <w:noWrap/>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 xml:space="preserve">13　　    </w:t>
            </w:r>
          </w:p>
        </w:tc>
        <w:tc>
          <w:tcPr>
            <w:tcW w:w="1271" w:type="dxa"/>
            <w:gridSpan w:val="2"/>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 xml:space="preserve"> 7   </w:t>
            </w:r>
          </w:p>
        </w:tc>
        <w:tc>
          <w:tcPr>
            <w:tcW w:w="1881" w:type="dxa"/>
            <w:tcBorders>
              <w:top w:val="nil"/>
              <w:left w:val="nil"/>
              <w:bottom w:val="single" w:color="auto" w:sz="8" w:space="0"/>
              <w:right w:val="single" w:color="auto" w:sz="8" w:space="0"/>
            </w:tcBorders>
            <w:noWrap/>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 xml:space="preserve">20　        </w:t>
            </w:r>
          </w:p>
        </w:tc>
      </w:tr>
      <w:tr>
        <w:tblPrEx>
          <w:tblCellMar>
            <w:top w:w="0" w:type="dxa"/>
            <w:left w:w="0" w:type="dxa"/>
            <w:bottom w:w="0" w:type="dxa"/>
            <w:right w:w="0" w:type="dxa"/>
          </w:tblCellMar>
        </w:tblPrEx>
        <w:trPr>
          <w:trHeight w:val="480" w:hRule="atLeast"/>
          <w:jc w:val="center"/>
        </w:trPr>
        <w:tc>
          <w:tcPr>
            <w:tcW w:w="8140" w:type="dxa"/>
            <w:gridSpan w:val="5"/>
            <w:tcBorders>
              <w:top w:val="nil"/>
              <w:left w:val="single" w:color="auto" w:sz="8" w:space="0"/>
              <w:bottom w:val="single" w:color="auto" w:sz="8" w:space="0"/>
              <w:right w:val="single" w:color="auto" w:sz="8" w:space="0"/>
            </w:tcBorders>
            <w:shd w:val="clear" w:color="auto" w:fill="C6D9F1"/>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第二十条第（五）项</w:t>
            </w:r>
          </w:p>
        </w:tc>
      </w:tr>
      <w:tr>
        <w:tblPrEx>
          <w:tblCellMar>
            <w:top w:w="0" w:type="dxa"/>
            <w:left w:w="0" w:type="dxa"/>
            <w:bottom w:w="0" w:type="dxa"/>
            <w:right w:w="0" w:type="dxa"/>
          </w:tblCellMar>
        </w:tblPrEx>
        <w:trPr>
          <w:trHeight w:val="634"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信息内容</w:t>
            </w:r>
          </w:p>
        </w:tc>
        <w:tc>
          <w:tcPr>
            <w:tcW w:w="1875" w:type="dxa"/>
            <w:tcBorders>
              <w:top w:val="single" w:color="auto" w:sz="8" w:space="0"/>
              <w:left w:val="nil"/>
              <w:bottom w:val="single" w:color="auto" w:sz="8" w:space="0"/>
              <w:right w:val="single" w:color="auto"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上一年项目数量</w:t>
            </w:r>
          </w:p>
        </w:tc>
        <w:tc>
          <w:tcPr>
            <w:tcW w:w="1271" w:type="dxa"/>
            <w:gridSpan w:val="2"/>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本年增/减</w:t>
            </w:r>
          </w:p>
        </w:tc>
        <w:tc>
          <w:tcPr>
            <w:tcW w:w="1881" w:type="dxa"/>
            <w:tcBorders>
              <w:top w:val="nil"/>
              <w:left w:val="nil"/>
              <w:bottom w:val="single" w:color="auto" w:sz="8" w:space="0"/>
              <w:right w:val="single" w:color="auto"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处理决定数量</w:t>
            </w:r>
          </w:p>
        </w:tc>
      </w:tr>
      <w:tr>
        <w:tblPrEx>
          <w:tblCellMar>
            <w:top w:w="0" w:type="dxa"/>
            <w:left w:w="0" w:type="dxa"/>
            <w:bottom w:w="0" w:type="dxa"/>
            <w:right w:w="0" w:type="dxa"/>
          </w:tblCellMar>
        </w:tblPrEx>
        <w:trPr>
          <w:trHeight w:val="528"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行政许可</w:t>
            </w:r>
          </w:p>
        </w:tc>
        <w:tc>
          <w:tcPr>
            <w:tcW w:w="1881" w:type="dxa"/>
            <w:gridSpan w:val="2"/>
            <w:tcBorders>
              <w:top w:val="nil"/>
              <w:left w:val="nil"/>
              <w:bottom w:val="single" w:color="auto" w:sz="8" w:space="0"/>
              <w:right w:val="single" w:color="auto" w:sz="8" w:space="0"/>
            </w:tcBorders>
            <w:noWrap/>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382</w:t>
            </w:r>
          </w:p>
        </w:tc>
        <w:tc>
          <w:tcPr>
            <w:tcW w:w="1265" w:type="dxa"/>
            <w:tcBorders>
              <w:top w:val="nil"/>
              <w:left w:val="nil"/>
              <w:bottom w:val="single" w:color="auto" w:sz="8" w:space="0"/>
              <w:right w:val="single" w:color="auto"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-11　</w:t>
            </w:r>
          </w:p>
        </w:tc>
        <w:tc>
          <w:tcPr>
            <w:tcW w:w="1881" w:type="dxa"/>
            <w:tcBorders>
              <w:top w:val="nil"/>
              <w:left w:val="nil"/>
              <w:bottom w:val="single" w:color="auto" w:sz="8" w:space="0"/>
              <w:right w:val="single" w:color="auto"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371　</w:t>
            </w:r>
          </w:p>
        </w:tc>
      </w:tr>
      <w:tr>
        <w:tblPrEx>
          <w:tblCellMar>
            <w:top w:w="0" w:type="dxa"/>
            <w:left w:w="0" w:type="dxa"/>
            <w:bottom w:w="0" w:type="dxa"/>
            <w:right w:w="0" w:type="dxa"/>
          </w:tblCellMar>
        </w:tblPrEx>
        <w:trPr>
          <w:trHeight w:val="550"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其他对外管理服务事项</w:t>
            </w:r>
          </w:p>
        </w:tc>
        <w:tc>
          <w:tcPr>
            <w:tcW w:w="1881" w:type="dxa"/>
            <w:gridSpan w:val="2"/>
            <w:tcBorders>
              <w:top w:val="nil"/>
              <w:left w:val="nil"/>
              <w:bottom w:val="single" w:color="auto" w:sz="8" w:space="0"/>
              <w:right w:val="single" w:color="auto" w:sz="8" w:space="0"/>
            </w:tcBorders>
            <w:noWrap/>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0</w:t>
            </w:r>
          </w:p>
        </w:tc>
        <w:tc>
          <w:tcPr>
            <w:tcW w:w="1265" w:type="dxa"/>
            <w:tcBorders>
              <w:top w:val="nil"/>
              <w:left w:val="nil"/>
              <w:bottom w:val="single" w:color="auto" w:sz="8" w:space="0"/>
              <w:right w:val="single" w:color="auto" w:sz="8" w:space="0"/>
            </w:tcBorders>
            <w:noWrap/>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0</w:t>
            </w:r>
          </w:p>
        </w:tc>
        <w:tc>
          <w:tcPr>
            <w:tcW w:w="1881" w:type="dxa"/>
            <w:tcBorders>
              <w:top w:val="nil"/>
              <w:left w:val="nil"/>
              <w:bottom w:val="single" w:color="auto" w:sz="8" w:space="0"/>
              <w:right w:val="single" w:color="auto" w:sz="8" w:space="0"/>
            </w:tcBorders>
            <w:noWrap/>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0</w:t>
            </w:r>
          </w:p>
        </w:tc>
      </w:tr>
      <w:tr>
        <w:tblPrEx>
          <w:tblCellMar>
            <w:top w:w="0" w:type="dxa"/>
            <w:left w:w="0" w:type="dxa"/>
            <w:bottom w:w="0" w:type="dxa"/>
            <w:right w:w="0" w:type="dxa"/>
          </w:tblCellMar>
        </w:tblPrEx>
        <w:trPr>
          <w:trHeight w:val="406" w:hRule="atLeast"/>
          <w:jc w:val="center"/>
        </w:trPr>
        <w:tc>
          <w:tcPr>
            <w:tcW w:w="8140" w:type="dxa"/>
            <w:gridSpan w:val="5"/>
            <w:tcBorders>
              <w:top w:val="nil"/>
              <w:left w:val="single" w:color="auto" w:sz="8" w:space="0"/>
              <w:bottom w:val="single" w:color="auto" w:sz="8" w:space="0"/>
              <w:right w:val="single" w:color="auto" w:sz="8" w:space="0"/>
            </w:tcBorders>
            <w:shd w:val="clear" w:color="auto" w:fill="C6D9F1"/>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第二十条第（六）项</w:t>
            </w:r>
          </w:p>
        </w:tc>
      </w:tr>
      <w:tr>
        <w:tblPrEx>
          <w:tblCellMar>
            <w:top w:w="0" w:type="dxa"/>
            <w:left w:w="0" w:type="dxa"/>
            <w:bottom w:w="0" w:type="dxa"/>
            <w:right w:w="0" w:type="dxa"/>
          </w:tblCellMar>
        </w:tblPrEx>
        <w:trPr>
          <w:trHeight w:val="634"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信息内容</w:t>
            </w:r>
          </w:p>
        </w:tc>
        <w:tc>
          <w:tcPr>
            <w:tcW w:w="1875" w:type="dxa"/>
            <w:tcBorders>
              <w:top w:val="single" w:color="auto" w:sz="8" w:space="0"/>
              <w:left w:val="nil"/>
              <w:bottom w:val="single" w:color="auto" w:sz="8" w:space="0"/>
              <w:right w:val="single" w:color="auto"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上一年项目数量</w:t>
            </w:r>
          </w:p>
        </w:tc>
        <w:tc>
          <w:tcPr>
            <w:tcW w:w="1271" w:type="dxa"/>
            <w:gridSpan w:val="2"/>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本年增/减</w:t>
            </w:r>
          </w:p>
        </w:tc>
        <w:tc>
          <w:tcPr>
            <w:tcW w:w="1881" w:type="dxa"/>
            <w:tcBorders>
              <w:top w:val="nil"/>
              <w:left w:val="nil"/>
              <w:bottom w:val="single" w:color="auto" w:sz="8" w:space="0"/>
              <w:right w:val="single" w:color="auto"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处理决定数量</w:t>
            </w:r>
          </w:p>
        </w:tc>
      </w:tr>
      <w:tr>
        <w:tblPrEx>
          <w:tblCellMar>
            <w:top w:w="0" w:type="dxa"/>
            <w:left w:w="0" w:type="dxa"/>
            <w:bottom w:w="0" w:type="dxa"/>
            <w:right w:w="0" w:type="dxa"/>
          </w:tblCellMar>
        </w:tblPrEx>
        <w:trPr>
          <w:trHeight w:val="430"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行政处罚</w:t>
            </w:r>
          </w:p>
        </w:tc>
        <w:tc>
          <w:tcPr>
            <w:tcW w:w="1881" w:type="dxa"/>
            <w:gridSpan w:val="2"/>
            <w:tcBorders>
              <w:top w:val="nil"/>
              <w:left w:val="nil"/>
              <w:bottom w:val="single" w:color="auto" w:sz="8" w:space="0"/>
              <w:right w:val="single" w:color="auto"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1322　</w:t>
            </w:r>
          </w:p>
        </w:tc>
        <w:tc>
          <w:tcPr>
            <w:tcW w:w="1265" w:type="dxa"/>
            <w:tcBorders>
              <w:top w:val="nil"/>
              <w:left w:val="nil"/>
              <w:bottom w:val="single" w:color="auto" w:sz="8" w:space="0"/>
              <w:right w:val="single" w:color="auto"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+1355　</w:t>
            </w:r>
          </w:p>
        </w:tc>
        <w:tc>
          <w:tcPr>
            <w:tcW w:w="1881" w:type="dxa"/>
            <w:tcBorders>
              <w:top w:val="nil"/>
              <w:left w:val="nil"/>
              <w:bottom w:val="single" w:color="auto" w:sz="8" w:space="0"/>
              <w:right w:val="single" w:color="auto"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2677　</w:t>
            </w:r>
          </w:p>
        </w:tc>
      </w:tr>
      <w:tr>
        <w:tblPrEx>
          <w:tblCellMar>
            <w:top w:w="0" w:type="dxa"/>
            <w:left w:w="0" w:type="dxa"/>
            <w:bottom w:w="0" w:type="dxa"/>
            <w:right w:w="0" w:type="dxa"/>
          </w:tblCellMar>
        </w:tblPrEx>
        <w:trPr>
          <w:trHeight w:val="409"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行政强制</w:t>
            </w:r>
          </w:p>
        </w:tc>
        <w:tc>
          <w:tcPr>
            <w:tcW w:w="1881" w:type="dxa"/>
            <w:gridSpan w:val="2"/>
            <w:tcBorders>
              <w:top w:val="nil"/>
              <w:left w:val="nil"/>
              <w:bottom w:val="single" w:color="auto" w:sz="8" w:space="0"/>
              <w:right w:val="single" w:color="auto"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148　</w:t>
            </w:r>
          </w:p>
        </w:tc>
        <w:tc>
          <w:tcPr>
            <w:tcW w:w="1265" w:type="dxa"/>
            <w:tcBorders>
              <w:top w:val="nil"/>
              <w:left w:val="nil"/>
              <w:bottom w:val="single" w:color="auto" w:sz="8" w:space="0"/>
              <w:right w:val="single" w:color="auto"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+10　</w:t>
            </w:r>
          </w:p>
        </w:tc>
        <w:tc>
          <w:tcPr>
            <w:tcW w:w="1881" w:type="dxa"/>
            <w:tcBorders>
              <w:top w:val="nil"/>
              <w:left w:val="nil"/>
              <w:bottom w:val="single" w:color="auto" w:sz="8" w:space="0"/>
              <w:right w:val="single" w:color="auto"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158　</w:t>
            </w:r>
          </w:p>
        </w:tc>
      </w:tr>
      <w:tr>
        <w:tblPrEx>
          <w:tblCellMar>
            <w:top w:w="0" w:type="dxa"/>
            <w:left w:w="0" w:type="dxa"/>
            <w:bottom w:w="0" w:type="dxa"/>
            <w:right w:w="0" w:type="dxa"/>
          </w:tblCellMar>
        </w:tblPrEx>
        <w:trPr>
          <w:trHeight w:val="474" w:hRule="atLeast"/>
          <w:jc w:val="center"/>
        </w:trPr>
        <w:tc>
          <w:tcPr>
            <w:tcW w:w="8140" w:type="dxa"/>
            <w:gridSpan w:val="5"/>
            <w:tcBorders>
              <w:top w:val="nil"/>
              <w:left w:val="single" w:color="auto" w:sz="8" w:space="0"/>
              <w:bottom w:val="single" w:color="auto" w:sz="8" w:space="0"/>
              <w:right w:val="single" w:color="auto" w:sz="8" w:space="0"/>
            </w:tcBorders>
            <w:shd w:val="clear" w:color="auto" w:fill="C6D9F1"/>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第二十条第（八）项</w:t>
            </w:r>
          </w:p>
        </w:tc>
      </w:tr>
      <w:tr>
        <w:tblPrEx>
          <w:tblCellMar>
            <w:top w:w="0" w:type="dxa"/>
            <w:left w:w="0" w:type="dxa"/>
            <w:bottom w:w="0" w:type="dxa"/>
            <w:right w:w="0" w:type="dxa"/>
          </w:tblCellMar>
        </w:tblPrEx>
        <w:trPr>
          <w:trHeight w:val="270"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信息内容</w:t>
            </w:r>
          </w:p>
        </w:tc>
        <w:tc>
          <w:tcPr>
            <w:tcW w:w="1881" w:type="dxa"/>
            <w:gridSpan w:val="2"/>
            <w:tcBorders>
              <w:top w:val="nil"/>
              <w:left w:val="nil"/>
              <w:bottom w:val="single" w:color="auto" w:sz="8" w:space="0"/>
              <w:right w:val="single" w:color="auto"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上一年项目数量</w:t>
            </w:r>
          </w:p>
        </w:tc>
        <w:tc>
          <w:tcPr>
            <w:tcW w:w="3146" w:type="dxa"/>
            <w:gridSpan w:val="2"/>
            <w:tcBorders>
              <w:top w:val="single" w:color="auto" w:sz="8" w:space="0"/>
              <w:left w:val="nil"/>
              <w:bottom w:val="single" w:color="auto" w:sz="8" w:space="0"/>
              <w:right w:val="single" w:color="000000"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本年增/减</w:t>
            </w:r>
          </w:p>
        </w:tc>
      </w:tr>
      <w:tr>
        <w:tblPrEx>
          <w:tblCellMar>
            <w:top w:w="0" w:type="dxa"/>
            <w:left w:w="0" w:type="dxa"/>
            <w:bottom w:w="0" w:type="dxa"/>
            <w:right w:w="0" w:type="dxa"/>
          </w:tblCellMar>
        </w:tblPrEx>
        <w:trPr>
          <w:trHeight w:val="551"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行政事业性收费</w:t>
            </w:r>
          </w:p>
        </w:tc>
        <w:tc>
          <w:tcPr>
            <w:tcW w:w="1881" w:type="dxa"/>
            <w:gridSpan w:val="2"/>
            <w:tcBorders>
              <w:top w:val="nil"/>
              <w:left w:val="nil"/>
              <w:bottom w:val="single" w:color="auto" w:sz="8" w:space="0"/>
              <w:right w:val="single" w:color="auto"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37　</w:t>
            </w:r>
          </w:p>
        </w:tc>
        <w:tc>
          <w:tcPr>
            <w:tcW w:w="3146" w:type="dxa"/>
            <w:gridSpan w:val="2"/>
            <w:tcBorders>
              <w:top w:val="nil"/>
              <w:left w:val="nil"/>
              <w:bottom w:val="single" w:color="auto" w:sz="8" w:space="0"/>
              <w:right w:val="single" w:color="000000"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-3 </w:t>
            </w:r>
          </w:p>
        </w:tc>
      </w:tr>
      <w:tr>
        <w:tblPrEx>
          <w:tblCellMar>
            <w:top w:w="0" w:type="dxa"/>
            <w:left w:w="0" w:type="dxa"/>
            <w:bottom w:w="0" w:type="dxa"/>
            <w:right w:w="0" w:type="dxa"/>
          </w:tblCellMar>
        </w:tblPrEx>
        <w:trPr>
          <w:trHeight w:val="476" w:hRule="atLeast"/>
          <w:jc w:val="center"/>
        </w:trPr>
        <w:tc>
          <w:tcPr>
            <w:tcW w:w="8140" w:type="dxa"/>
            <w:gridSpan w:val="5"/>
            <w:tcBorders>
              <w:top w:val="nil"/>
              <w:left w:val="single" w:color="auto" w:sz="8" w:space="0"/>
              <w:bottom w:val="single" w:color="auto" w:sz="8" w:space="0"/>
              <w:right w:val="single" w:color="auto" w:sz="8" w:space="0"/>
            </w:tcBorders>
            <w:shd w:val="clear" w:color="auto" w:fill="C6D9F1"/>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第二十条第（九）项</w:t>
            </w:r>
          </w:p>
        </w:tc>
      </w:tr>
      <w:tr>
        <w:tblPrEx>
          <w:tblCellMar>
            <w:top w:w="0" w:type="dxa"/>
            <w:left w:w="0" w:type="dxa"/>
            <w:bottom w:w="0" w:type="dxa"/>
            <w:right w:w="0" w:type="dxa"/>
          </w:tblCellMar>
        </w:tblPrEx>
        <w:trPr>
          <w:trHeight w:val="585"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信息内容</w:t>
            </w:r>
          </w:p>
        </w:tc>
        <w:tc>
          <w:tcPr>
            <w:tcW w:w="1881" w:type="dxa"/>
            <w:gridSpan w:val="2"/>
            <w:tcBorders>
              <w:top w:val="nil"/>
              <w:left w:val="nil"/>
              <w:bottom w:val="single" w:color="auto" w:sz="8" w:space="0"/>
              <w:right w:val="single" w:color="auto"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采购项目数量</w:t>
            </w:r>
          </w:p>
        </w:tc>
        <w:tc>
          <w:tcPr>
            <w:tcW w:w="3146" w:type="dxa"/>
            <w:gridSpan w:val="2"/>
            <w:tcBorders>
              <w:top w:val="single" w:color="auto" w:sz="8" w:space="0"/>
              <w:left w:val="nil"/>
              <w:bottom w:val="single" w:color="auto" w:sz="8" w:space="0"/>
              <w:right w:val="single" w:color="000000"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采购总金额</w:t>
            </w:r>
          </w:p>
        </w:tc>
      </w:tr>
      <w:tr>
        <w:tblPrEx>
          <w:tblCellMar>
            <w:top w:w="0" w:type="dxa"/>
            <w:left w:w="0" w:type="dxa"/>
            <w:bottom w:w="0" w:type="dxa"/>
            <w:right w:w="0" w:type="dxa"/>
          </w:tblCellMar>
        </w:tblPrEx>
        <w:trPr>
          <w:trHeight w:val="539" w:hRule="atLeast"/>
          <w:jc w:val="center"/>
        </w:trPr>
        <w:tc>
          <w:tcPr>
            <w:tcW w:w="3113" w:type="dxa"/>
            <w:tcBorders>
              <w:top w:val="nil"/>
              <w:left w:val="single" w:color="auto" w:sz="8" w:space="0"/>
              <w:bottom w:val="single" w:color="auto" w:sz="8" w:space="0"/>
              <w:right w:val="single" w:color="auto"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政府集中采购</w:t>
            </w:r>
          </w:p>
        </w:tc>
        <w:tc>
          <w:tcPr>
            <w:tcW w:w="1881" w:type="dxa"/>
            <w:gridSpan w:val="2"/>
            <w:tcBorders>
              <w:top w:val="nil"/>
              <w:left w:val="nil"/>
              <w:bottom w:val="single" w:color="auto" w:sz="8" w:space="0"/>
              <w:right w:val="single" w:color="auto" w:sz="8" w:space="0"/>
            </w:tcBorders>
            <w:noWrap/>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77</w:t>
            </w:r>
          </w:p>
        </w:tc>
        <w:tc>
          <w:tcPr>
            <w:tcW w:w="3146" w:type="dxa"/>
            <w:gridSpan w:val="2"/>
            <w:tcBorders>
              <w:top w:val="nil"/>
              <w:left w:val="nil"/>
              <w:bottom w:val="single" w:color="auto" w:sz="8" w:space="0"/>
              <w:right w:val="single" w:color="000000" w:sz="8" w:space="0"/>
            </w:tcBorders>
            <w:noWrap/>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24946.6万元</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firstLine="640" w:firstLineChars="200"/>
        <w:jc w:val="both"/>
        <w:textAlignment w:val="auto"/>
        <w:rPr>
          <w:rFonts w:hint="eastAsia" w:ascii="黑体" w:hAnsi="黑体" w:eastAsia="黑体" w:cs="黑体"/>
          <w:i w:val="0"/>
          <w:caps w:val="0"/>
          <w:color w:val="000000"/>
          <w:spacing w:val="0"/>
          <w:sz w:val="32"/>
          <w:szCs w:val="32"/>
          <w:shd w:val="clear" w:fill="FFFFFF"/>
        </w:rPr>
      </w:pPr>
      <w:r>
        <w:rPr>
          <w:rFonts w:hint="eastAsia" w:ascii="黑体" w:hAnsi="黑体" w:eastAsia="黑体" w:cs="黑体"/>
          <w:i w:val="0"/>
          <w:caps w:val="0"/>
          <w:color w:val="000000"/>
          <w:spacing w:val="0"/>
          <w:sz w:val="32"/>
          <w:szCs w:val="32"/>
          <w:shd w:val="clear" w:fill="FFFFFF"/>
        </w:rPr>
        <w:t>三、收到和处理政府信息公开申请情况</w:t>
      </w:r>
    </w:p>
    <w:tbl>
      <w:tblPr>
        <w:tblStyle w:val="6"/>
        <w:tblW w:w="8139"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autofit"/>
        <w:tblCellMar>
          <w:top w:w="0" w:type="dxa"/>
          <w:left w:w="0" w:type="dxa"/>
          <w:bottom w:w="0" w:type="dxa"/>
          <w:right w:w="0" w:type="dxa"/>
        </w:tblCellMar>
      </w:tblPr>
      <w:tblGrid>
        <w:gridCol w:w="696"/>
        <w:gridCol w:w="936"/>
        <w:gridCol w:w="1749"/>
        <w:gridCol w:w="699"/>
        <w:gridCol w:w="652"/>
        <w:gridCol w:w="652"/>
        <w:gridCol w:w="699"/>
        <w:gridCol w:w="827"/>
        <w:gridCol w:w="623"/>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14" w:hRule="atLeast"/>
          <w:jc w:val="center"/>
        </w:trPr>
        <w:tc>
          <w:tcPr>
            <w:tcW w:w="3368" w:type="dxa"/>
            <w:gridSpan w:val="3"/>
            <w:vMerge w:val="restart"/>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r>
              <w:rPr>
                <w:rFonts w:hint="eastAsia" w:ascii="宋体"/>
                <w:sz w:val="24"/>
                <w:szCs w:val="24"/>
                <w:lang w:val="en-US" w:eastAsia="zh-CN"/>
              </w:rPr>
              <w:t>（本列数据的勾稽关系为：第一项加第二项之和，等于第三项加第四项之和）</w:t>
            </w:r>
          </w:p>
        </w:tc>
        <w:tc>
          <w:tcPr>
            <w:tcW w:w="4771" w:type="dxa"/>
            <w:gridSpan w:val="7"/>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14" w:hRule="atLeast"/>
          <w:jc w:val="center"/>
        </w:trPr>
        <w:tc>
          <w:tcPr>
            <w:tcW w:w="3368" w:type="dxa"/>
            <w:gridSpan w:val="3"/>
            <w:vMerge w:val="continue"/>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701" w:type="dxa"/>
            <w:vMerge w:val="restart"/>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自然人</w:t>
            </w:r>
          </w:p>
        </w:tc>
        <w:tc>
          <w:tcPr>
            <w:tcW w:w="3463"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法人或其他组织</w:t>
            </w:r>
          </w:p>
        </w:tc>
        <w:tc>
          <w:tcPr>
            <w:tcW w:w="607"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258" w:hRule="atLeast"/>
          <w:jc w:val="center"/>
        </w:trPr>
        <w:tc>
          <w:tcPr>
            <w:tcW w:w="3368" w:type="dxa"/>
            <w:gridSpan w:val="3"/>
            <w:vMerge w:val="continue"/>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701" w:type="dxa"/>
            <w:vMerge w:val="continue"/>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商业企业</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科研机构</w:t>
            </w:r>
          </w:p>
        </w:tc>
        <w:tc>
          <w:tcPr>
            <w:tcW w:w="701" w:type="dxa"/>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社会公益组织</w:t>
            </w:r>
          </w:p>
        </w:tc>
        <w:tc>
          <w:tcPr>
            <w:tcW w:w="830" w:type="dxa"/>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法律服务机构</w:t>
            </w:r>
          </w:p>
        </w:tc>
        <w:tc>
          <w:tcPr>
            <w:tcW w:w="624" w:type="dxa"/>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其他</w:t>
            </w:r>
          </w:p>
        </w:tc>
        <w:tc>
          <w:tcPr>
            <w:tcW w:w="607"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39" w:hRule="atLeast"/>
          <w:jc w:val="center"/>
        </w:trPr>
        <w:tc>
          <w:tcPr>
            <w:tcW w:w="3368" w:type="dxa"/>
            <w:gridSpan w:val="3"/>
            <w:tcBorders>
              <w:top w:val="nil"/>
              <w:left w:val="single" w:color="auto" w:sz="8" w:space="0"/>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r>
              <w:rPr>
                <w:rFonts w:hint="eastAsia" w:ascii="宋体"/>
                <w:sz w:val="24"/>
                <w:szCs w:val="24"/>
                <w:lang w:val="en-US" w:eastAsia="zh-CN"/>
              </w:rPr>
              <w:t>一、本年新收政府信息公开申请数量</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830"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2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07"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39" w:hRule="atLeast"/>
          <w:jc w:val="center"/>
        </w:trPr>
        <w:tc>
          <w:tcPr>
            <w:tcW w:w="3368" w:type="dxa"/>
            <w:gridSpan w:val="3"/>
            <w:tcBorders>
              <w:top w:val="nil"/>
              <w:left w:val="single" w:color="auto" w:sz="8" w:space="0"/>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r>
              <w:rPr>
                <w:rFonts w:hint="eastAsia" w:ascii="宋体"/>
                <w:sz w:val="24"/>
                <w:szCs w:val="24"/>
                <w:lang w:val="en-US" w:eastAsia="zh-CN"/>
              </w:rPr>
              <w:t>二、上年结转政府信息公开申请数量</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830"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2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07"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14" w:hRule="atLeast"/>
          <w:jc w:val="center"/>
        </w:trPr>
        <w:tc>
          <w:tcPr>
            <w:tcW w:w="687"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r>
              <w:rPr>
                <w:rFonts w:hint="eastAsia" w:ascii="宋体"/>
                <w:sz w:val="24"/>
                <w:szCs w:val="24"/>
                <w:lang w:val="en-US" w:eastAsia="zh-CN"/>
              </w:rPr>
              <w:t>三、本年度办理结果</w:t>
            </w:r>
          </w:p>
        </w:tc>
        <w:tc>
          <w:tcPr>
            <w:tcW w:w="2681" w:type="dxa"/>
            <w:gridSpan w:val="2"/>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r>
              <w:rPr>
                <w:rFonts w:hint="eastAsia" w:ascii="宋体"/>
                <w:sz w:val="24"/>
                <w:szCs w:val="24"/>
                <w:lang w:val="en-US" w:eastAsia="zh-CN"/>
              </w:rPr>
              <w:t>（一）予以公开</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830"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2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07" w:type="dxa"/>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113" w:hRule="atLeast"/>
          <w:jc w:val="center"/>
        </w:trPr>
        <w:tc>
          <w:tcPr>
            <w:tcW w:w="68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2681" w:type="dxa"/>
            <w:gridSpan w:val="2"/>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r>
              <w:rPr>
                <w:rFonts w:hint="eastAsia" w:ascii="宋体"/>
                <w:sz w:val="24"/>
                <w:szCs w:val="24"/>
                <w:lang w:val="en-US" w:eastAsia="zh-CN"/>
              </w:rPr>
              <w:t>（二）部分公开（区分处理的，只计这一情形，不计其他情形）</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830"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2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07"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39" w:hRule="atLeast"/>
          <w:jc w:val="center"/>
        </w:trPr>
        <w:tc>
          <w:tcPr>
            <w:tcW w:w="68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924" w:type="dxa"/>
            <w:vMerge w:val="restart"/>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r>
              <w:rPr>
                <w:rFonts w:hint="eastAsia" w:ascii="宋体"/>
                <w:sz w:val="24"/>
                <w:szCs w:val="24"/>
                <w:lang w:val="en-US" w:eastAsia="zh-CN"/>
              </w:rPr>
              <w:t>（三）不予公开</w:t>
            </w:r>
          </w:p>
        </w:tc>
        <w:tc>
          <w:tcPr>
            <w:tcW w:w="1757" w:type="dxa"/>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r>
              <w:rPr>
                <w:rFonts w:hint="eastAsia" w:ascii="宋体"/>
                <w:sz w:val="24"/>
                <w:szCs w:val="24"/>
                <w:lang w:val="en-US" w:eastAsia="zh-CN"/>
              </w:rPr>
              <w:t>1.属于国家秘密</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830"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2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07" w:type="dxa"/>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48" w:hRule="atLeast"/>
          <w:jc w:val="center"/>
        </w:trPr>
        <w:tc>
          <w:tcPr>
            <w:tcW w:w="68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924" w:type="dxa"/>
            <w:vMerge w:val="continue"/>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1757" w:type="dxa"/>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r>
              <w:rPr>
                <w:rFonts w:hint="eastAsia" w:ascii="宋体"/>
                <w:sz w:val="24"/>
                <w:szCs w:val="24"/>
                <w:lang w:val="en-US" w:eastAsia="zh-CN"/>
              </w:rPr>
              <w:t>2.其他法律行政法规禁止公开</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830"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2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07"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813" w:hRule="atLeast"/>
          <w:jc w:val="center"/>
        </w:trPr>
        <w:tc>
          <w:tcPr>
            <w:tcW w:w="68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924" w:type="dxa"/>
            <w:vMerge w:val="continue"/>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1757" w:type="dxa"/>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r>
              <w:rPr>
                <w:rFonts w:hint="eastAsia" w:ascii="宋体"/>
                <w:sz w:val="24"/>
                <w:szCs w:val="24"/>
                <w:lang w:val="en-US" w:eastAsia="zh-CN"/>
              </w:rPr>
              <w:t>3.危及“三安全一稳定”</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830"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2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07"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813" w:hRule="atLeast"/>
          <w:jc w:val="center"/>
        </w:trPr>
        <w:tc>
          <w:tcPr>
            <w:tcW w:w="68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924" w:type="dxa"/>
            <w:vMerge w:val="continue"/>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1757" w:type="dxa"/>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r>
              <w:rPr>
                <w:rFonts w:hint="eastAsia" w:ascii="宋体"/>
                <w:sz w:val="24"/>
                <w:szCs w:val="24"/>
                <w:lang w:val="en-US" w:eastAsia="zh-CN"/>
              </w:rPr>
              <w:t>4.保护第三方合法权益</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830"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2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07"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813" w:hRule="atLeast"/>
          <w:jc w:val="center"/>
        </w:trPr>
        <w:tc>
          <w:tcPr>
            <w:tcW w:w="68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924" w:type="dxa"/>
            <w:vMerge w:val="continue"/>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1757" w:type="dxa"/>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r>
              <w:rPr>
                <w:rFonts w:hint="eastAsia" w:ascii="宋体"/>
                <w:sz w:val="24"/>
                <w:szCs w:val="24"/>
                <w:lang w:val="en-US" w:eastAsia="zh-CN"/>
              </w:rPr>
              <w:t>5.属于三类内部事务信息</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830"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2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07"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813" w:hRule="atLeast"/>
          <w:jc w:val="center"/>
        </w:trPr>
        <w:tc>
          <w:tcPr>
            <w:tcW w:w="68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924" w:type="dxa"/>
            <w:vMerge w:val="continue"/>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1757" w:type="dxa"/>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r>
              <w:rPr>
                <w:rFonts w:hint="eastAsia" w:ascii="宋体"/>
                <w:sz w:val="24"/>
                <w:szCs w:val="24"/>
                <w:lang w:val="en-US" w:eastAsia="zh-CN"/>
              </w:rPr>
              <w:t>6.属于四类过程性信息</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830"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2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07"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813" w:hRule="atLeast"/>
          <w:jc w:val="center"/>
        </w:trPr>
        <w:tc>
          <w:tcPr>
            <w:tcW w:w="68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924" w:type="dxa"/>
            <w:vMerge w:val="continue"/>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1757" w:type="dxa"/>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r>
              <w:rPr>
                <w:rFonts w:hint="eastAsia" w:ascii="宋体"/>
                <w:sz w:val="24"/>
                <w:szCs w:val="24"/>
                <w:lang w:val="en-US" w:eastAsia="zh-CN"/>
              </w:rPr>
              <w:t>7.属于行政执法案卷</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830"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2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07"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813" w:hRule="atLeast"/>
          <w:jc w:val="center"/>
        </w:trPr>
        <w:tc>
          <w:tcPr>
            <w:tcW w:w="68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924" w:type="dxa"/>
            <w:vMerge w:val="continue"/>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1757" w:type="dxa"/>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r>
              <w:rPr>
                <w:rFonts w:hint="eastAsia" w:ascii="宋体"/>
                <w:sz w:val="24"/>
                <w:szCs w:val="24"/>
                <w:lang w:val="en-US" w:eastAsia="zh-CN"/>
              </w:rPr>
              <w:t>8.属于行政查询事项</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830"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2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07"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48" w:hRule="atLeast"/>
          <w:jc w:val="center"/>
        </w:trPr>
        <w:tc>
          <w:tcPr>
            <w:tcW w:w="68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924" w:type="dxa"/>
            <w:vMerge w:val="restart"/>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r>
              <w:rPr>
                <w:rFonts w:hint="eastAsia" w:ascii="宋体"/>
                <w:sz w:val="24"/>
                <w:szCs w:val="24"/>
                <w:lang w:val="en-US" w:eastAsia="zh-CN"/>
              </w:rPr>
              <w:t>（四）无法提供</w:t>
            </w:r>
          </w:p>
        </w:tc>
        <w:tc>
          <w:tcPr>
            <w:tcW w:w="1757" w:type="dxa"/>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r>
              <w:rPr>
                <w:rFonts w:hint="eastAsia" w:ascii="宋体"/>
                <w:sz w:val="24"/>
                <w:szCs w:val="24"/>
                <w:lang w:val="en-US" w:eastAsia="zh-CN"/>
              </w:rPr>
              <w:t>1.本机关不掌握相关政府信息</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830"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2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07"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48" w:hRule="atLeast"/>
          <w:jc w:val="center"/>
        </w:trPr>
        <w:tc>
          <w:tcPr>
            <w:tcW w:w="68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924" w:type="dxa"/>
            <w:vMerge w:val="continue"/>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1757" w:type="dxa"/>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r>
              <w:rPr>
                <w:rFonts w:hint="eastAsia" w:ascii="宋体"/>
                <w:sz w:val="24"/>
                <w:szCs w:val="24"/>
                <w:lang w:val="en-US" w:eastAsia="zh-CN"/>
              </w:rPr>
              <w:t>2.没有现成信息需要另行制作</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830"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2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07"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813" w:hRule="atLeast"/>
          <w:jc w:val="center"/>
        </w:trPr>
        <w:tc>
          <w:tcPr>
            <w:tcW w:w="68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924" w:type="dxa"/>
            <w:vMerge w:val="continue"/>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1757" w:type="dxa"/>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r>
              <w:rPr>
                <w:rFonts w:hint="eastAsia" w:ascii="宋体"/>
                <w:sz w:val="24"/>
                <w:szCs w:val="24"/>
                <w:lang w:val="en-US" w:eastAsia="zh-CN"/>
              </w:rPr>
              <w:t>3.补正后申请内容仍不明确</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830"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2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07"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813" w:hRule="atLeast"/>
          <w:jc w:val="center"/>
        </w:trPr>
        <w:tc>
          <w:tcPr>
            <w:tcW w:w="68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924" w:type="dxa"/>
            <w:vMerge w:val="restart"/>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r>
              <w:rPr>
                <w:rFonts w:hint="eastAsia" w:ascii="宋体"/>
                <w:sz w:val="24"/>
                <w:szCs w:val="24"/>
                <w:lang w:val="en-US" w:eastAsia="zh-CN"/>
              </w:rPr>
              <w:t>（五）不予处理</w:t>
            </w:r>
          </w:p>
        </w:tc>
        <w:tc>
          <w:tcPr>
            <w:tcW w:w="1757" w:type="dxa"/>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r>
              <w:rPr>
                <w:rFonts w:hint="eastAsia" w:ascii="宋体"/>
                <w:sz w:val="24"/>
                <w:szCs w:val="24"/>
                <w:lang w:val="en-US" w:eastAsia="zh-CN"/>
              </w:rPr>
              <w:t>1.信访举报投诉类申请</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830"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2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07"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14" w:hRule="atLeast"/>
          <w:jc w:val="center"/>
        </w:trPr>
        <w:tc>
          <w:tcPr>
            <w:tcW w:w="68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924" w:type="dxa"/>
            <w:vMerge w:val="continue"/>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1757" w:type="dxa"/>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r>
              <w:rPr>
                <w:rFonts w:hint="eastAsia" w:ascii="宋体"/>
                <w:sz w:val="24"/>
                <w:szCs w:val="24"/>
                <w:lang w:val="en-US" w:eastAsia="zh-CN"/>
              </w:rPr>
              <w:t>2.重复申请</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830"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2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07"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885" w:hRule="atLeast"/>
          <w:jc w:val="center"/>
        </w:trPr>
        <w:tc>
          <w:tcPr>
            <w:tcW w:w="68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924" w:type="dxa"/>
            <w:vMerge w:val="continue"/>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1757" w:type="dxa"/>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r>
              <w:rPr>
                <w:rFonts w:hint="eastAsia" w:ascii="宋体"/>
                <w:sz w:val="24"/>
                <w:szCs w:val="24"/>
                <w:lang w:val="en-US" w:eastAsia="zh-CN"/>
              </w:rPr>
              <w:t>3.要求提供公开出版物</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830"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2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07"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813" w:hRule="atLeast"/>
          <w:jc w:val="center"/>
        </w:trPr>
        <w:tc>
          <w:tcPr>
            <w:tcW w:w="68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924" w:type="dxa"/>
            <w:vMerge w:val="continue"/>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1757" w:type="dxa"/>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r>
              <w:rPr>
                <w:rFonts w:hint="eastAsia" w:ascii="宋体"/>
                <w:sz w:val="24"/>
                <w:szCs w:val="24"/>
                <w:lang w:val="en-US" w:eastAsia="zh-CN"/>
              </w:rPr>
              <w:t>4.无正当理由大量反复申请</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830"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2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07"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258" w:hRule="atLeast"/>
          <w:jc w:val="center"/>
        </w:trPr>
        <w:tc>
          <w:tcPr>
            <w:tcW w:w="68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924" w:type="dxa"/>
            <w:vMerge w:val="continue"/>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1757" w:type="dxa"/>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r>
              <w:rPr>
                <w:rFonts w:hint="eastAsia" w:ascii="宋体"/>
                <w:sz w:val="24"/>
                <w:szCs w:val="24"/>
                <w:lang w:val="en-US" w:eastAsia="zh-CN"/>
              </w:rPr>
              <w:t>5.要求行政机关确认或重新出具已获取信息</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830"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2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07"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14" w:hRule="atLeast"/>
          <w:jc w:val="center"/>
        </w:trPr>
        <w:tc>
          <w:tcPr>
            <w:tcW w:w="68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2681" w:type="dxa"/>
            <w:gridSpan w:val="2"/>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r>
              <w:rPr>
                <w:rFonts w:hint="eastAsia" w:ascii="宋体"/>
                <w:sz w:val="24"/>
                <w:szCs w:val="24"/>
                <w:lang w:val="en-US" w:eastAsia="zh-CN"/>
              </w:rPr>
              <w:t>（六）其他处理</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830"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2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07"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14" w:hRule="atLeast"/>
          <w:jc w:val="center"/>
        </w:trPr>
        <w:tc>
          <w:tcPr>
            <w:tcW w:w="687"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p>
        </w:tc>
        <w:tc>
          <w:tcPr>
            <w:tcW w:w="2681" w:type="dxa"/>
            <w:gridSpan w:val="2"/>
            <w:tcBorders>
              <w:top w:val="nil"/>
              <w:left w:val="nil"/>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r>
              <w:rPr>
                <w:rFonts w:hint="eastAsia" w:ascii="宋体"/>
                <w:sz w:val="24"/>
                <w:szCs w:val="24"/>
                <w:lang w:val="en-US" w:eastAsia="zh-CN"/>
              </w:rPr>
              <w:t>（七）总计</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830"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2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07"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72" w:hRule="atLeast"/>
          <w:jc w:val="center"/>
        </w:trPr>
        <w:tc>
          <w:tcPr>
            <w:tcW w:w="3368" w:type="dxa"/>
            <w:gridSpan w:val="3"/>
            <w:tcBorders>
              <w:top w:val="nil"/>
              <w:left w:val="single" w:color="auto" w:sz="8" w:space="0"/>
              <w:bottom w:val="single" w:color="auto" w:sz="8" w:space="0"/>
              <w:right w:val="single" w:color="auto" w:sz="8" w:space="0"/>
            </w:tcBorders>
            <w:noWrap w:val="0"/>
            <w:tcMar>
              <w:left w:w="108" w:type="dxa"/>
              <w:right w:w="108" w:type="dxa"/>
            </w:tcMar>
            <w:vAlign w:val="center"/>
          </w:tcPr>
          <w:p>
            <w:pPr>
              <w:jc w:val="both"/>
              <w:rPr>
                <w:rFonts w:hint="eastAsia" w:ascii="宋体"/>
                <w:sz w:val="24"/>
                <w:szCs w:val="24"/>
                <w:lang w:val="en-US" w:eastAsia="zh-CN"/>
              </w:rPr>
            </w:pPr>
            <w:r>
              <w:rPr>
                <w:rFonts w:hint="eastAsia" w:ascii="宋体"/>
                <w:sz w:val="24"/>
                <w:szCs w:val="24"/>
                <w:lang w:val="en-US" w:eastAsia="zh-CN"/>
              </w:rPr>
              <w:t>四、结转下年度继续办理</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default"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5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70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830"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2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607"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firstLine="640" w:firstLineChars="200"/>
        <w:jc w:val="both"/>
        <w:textAlignment w:val="auto"/>
        <w:rPr>
          <w:rFonts w:hint="eastAsia" w:ascii="宋体" w:hAnsi="宋体" w:eastAsia="宋体" w:cs="宋体"/>
          <w:i w:val="0"/>
          <w:caps w:val="0"/>
          <w:color w:val="333333"/>
          <w:spacing w:val="0"/>
          <w:sz w:val="24"/>
          <w:szCs w:val="24"/>
        </w:rPr>
      </w:pPr>
      <w:r>
        <w:rPr>
          <w:rFonts w:hint="eastAsia" w:ascii="黑体" w:hAnsi="黑体" w:eastAsia="黑体" w:cs="黑体"/>
          <w:i w:val="0"/>
          <w:caps w:val="0"/>
          <w:color w:val="000000"/>
          <w:spacing w:val="0"/>
          <w:sz w:val="32"/>
          <w:szCs w:val="32"/>
          <w:shd w:val="clear" w:fill="FFFFFF"/>
        </w:rPr>
        <w:t>四、政府信息公开行政复议、行政诉讼情况</w:t>
      </w:r>
    </w:p>
    <w:tbl>
      <w:tblPr>
        <w:tblStyle w:val="6"/>
        <w:tblW w:w="8139"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autofit"/>
        <w:tblCellMar>
          <w:top w:w="0" w:type="dxa"/>
          <w:left w:w="0" w:type="dxa"/>
          <w:bottom w:w="0" w:type="dxa"/>
          <w:right w:w="0" w:type="dxa"/>
        </w:tblCellMar>
      </w:tblPr>
      <w:tblGrid>
        <w:gridCol w:w="541"/>
        <w:gridCol w:w="541"/>
        <w:gridCol w:w="541"/>
        <w:gridCol w:w="541"/>
        <w:gridCol w:w="594"/>
        <w:gridCol w:w="492"/>
        <w:gridCol w:w="542"/>
        <w:gridCol w:w="542"/>
        <w:gridCol w:w="542"/>
        <w:gridCol w:w="546"/>
        <w:gridCol w:w="542"/>
        <w:gridCol w:w="542"/>
        <w:gridCol w:w="542"/>
        <w:gridCol w:w="543"/>
        <w:gridCol w:w="548"/>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32" w:hRule="atLeast"/>
          <w:jc w:val="center"/>
        </w:trPr>
        <w:tc>
          <w:tcPr>
            <w:tcW w:w="2758" w:type="dxa"/>
            <w:gridSpan w:val="5"/>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行政复议</w:t>
            </w:r>
          </w:p>
        </w:tc>
        <w:tc>
          <w:tcPr>
            <w:tcW w:w="5381" w:type="dxa"/>
            <w:gridSpan w:val="10"/>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32" w:hRule="atLeast"/>
          <w:jc w:val="center"/>
        </w:trPr>
        <w:tc>
          <w:tcPr>
            <w:tcW w:w="541"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结果维持</w:t>
            </w:r>
          </w:p>
        </w:tc>
        <w:tc>
          <w:tcPr>
            <w:tcW w:w="541" w:type="dxa"/>
            <w:vMerge w:val="restart"/>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结果纠正</w:t>
            </w:r>
          </w:p>
        </w:tc>
        <w:tc>
          <w:tcPr>
            <w:tcW w:w="541"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其他结果</w:t>
            </w:r>
          </w:p>
        </w:tc>
        <w:tc>
          <w:tcPr>
            <w:tcW w:w="541"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尚未审结</w:t>
            </w:r>
          </w:p>
        </w:tc>
        <w:tc>
          <w:tcPr>
            <w:tcW w:w="59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总计</w:t>
            </w:r>
          </w:p>
        </w:tc>
        <w:tc>
          <w:tcPr>
            <w:tcW w:w="2664"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未经复议直接起诉</w:t>
            </w:r>
          </w:p>
        </w:tc>
        <w:tc>
          <w:tcPr>
            <w:tcW w:w="2717"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469" w:hRule="atLeast"/>
          <w:jc w:val="center"/>
        </w:trPr>
        <w:tc>
          <w:tcPr>
            <w:tcW w:w="541"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p>
        </w:tc>
        <w:tc>
          <w:tcPr>
            <w:tcW w:w="541" w:type="dxa"/>
            <w:vMerge w:val="continue"/>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p>
        </w:tc>
        <w:tc>
          <w:tcPr>
            <w:tcW w:w="541"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p>
        </w:tc>
        <w:tc>
          <w:tcPr>
            <w:tcW w:w="541"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p>
        </w:tc>
        <w:tc>
          <w:tcPr>
            <w:tcW w:w="59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p>
        </w:tc>
        <w:tc>
          <w:tcPr>
            <w:tcW w:w="492"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结果维持</w:t>
            </w:r>
          </w:p>
        </w:tc>
        <w:tc>
          <w:tcPr>
            <w:tcW w:w="542"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结果纠正</w:t>
            </w:r>
          </w:p>
        </w:tc>
        <w:tc>
          <w:tcPr>
            <w:tcW w:w="542" w:type="dxa"/>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其他结果</w:t>
            </w:r>
          </w:p>
        </w:tc>
        <w:tc>
          <w:tcPr>
            <w:tcW w:w="542" w:type="dxa"/>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尚未审结</w:t>
            </w:r>
          </w:p>
        </w:tc>
        <w:tc>
          <w:tcPr>
            <w:tcW w:w="546" w:type="dxa"/>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总计</w:t>
            </w:r>
          </w:p>
        </w:tc>
        <w:tc>
          <w:tcPr>
            <w:tcW w:w="542" w:type="dxa"/>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结果维持</w:t>
            </w:r>
          </w:p>
        </w:tc>
        <w:tc>
          <w:tcPr>
            <w:tcW w:w="542" w:type="dxa"/>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结果纠正</w:t>
            </w:r>
          </w:p>
        </w:tc>
        <w:tc>
          <w:tcPr>
            <w:tcW w:w="542" w:type="dxa"/>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其他结果</w:t>
            </w:r>
          </w:p>
        </w:tc>
        <w:tc>
          <w:tcPr>
            <w:tcW w:w="543" w:type="dxa"/>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尚未审结</w:t>
            </w:r>
          </w:p>
        </w:tc>
        <w:tc>
          <w:tcPr>
            <w:tcW w:w="548" w:type="dxa"/>
            <w:tcBorders>
              <w:top w:val="single" w:color="auto" w:sz="8" w:space="0"/>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74" w:hRule="atLeast"/>
          <w:jc w:val="center"/>
        </w:trPr>
        <w:tc>
          <w:tcPr>
            <w:tcW w:w="541" w:type="dxa"/>
            <w:tcBorders>
              <w:top w:val="nil"/>
              <w:left w:val="single" w:color="auto" w:sz="8" w:space="0"/>
              <w:bottom w:val="single" w:color="auto" w:sz="8" w:space="0"/>
              <w:right w:val="single" w:color="auto" w:sz="8" w:space="0"/>
            </w:tcBorders>
            <w:noWrap w:val="0"/>
            <w:tcMar>
              <w:left w:w="108" w:type="dxa"/>
              <w:right w:w="108" w:type="dxa"/>
            </w:tcMar>
            <w:vAlign w:val="center"/>
          </w:tcPr>
          <w:p>
            <w:pPr>
              <w:jc w:val="center"/>
              <w:rPr>
                <w:rFonts w:hint="default" w:ascii="宋体"/>
                <w:sz w:val="24"/>
                <w:szCs w:val="24"/>
                <w:lang w:val="en-US" w:eastAsia="zh-CN"/>
              </w:rPr>
            </w:pPr>
            <w:r>
              <w:rPr>
                <w:rFonts w:hint="default" w:ascii="宋体"/>
                <w:sz w:val="24"/>
                <w:szCs w:val="24"/>
                <w:lang w:val="en-US" w:eastAsia="zh-CN"/>
              </w:rPr>
              <w:t> </w:t>
            </w:r>
            <w:r>
              <w:rPr>
                <w:rFonts w:hint="eastAsia" w:ascii="宋体"/>
                <w:sz w:val="24"/>
                <w:szCs w:val="24"/>
                <w:lang w:val="en-US" w:eastAsia="zh-CN"/>
              </w:rPr>
              <w:t>0</w:t>
            </w:r>
          </w:p>
        </w:tc>
        <w:tc>
          <w:tcPr>
            <w:tcW w:w="54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54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541"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594"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492"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542"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542"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542"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546"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542"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542"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542"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543"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c>
          <w:tcPr>
            <w:tcW w:w="548" w:type="dxa"/>
            <w:tcBorders>
              <w:top w:val="nil"/>
              <w:left w:val="nil"/>
              <w:bottom w:val="single" w:color="auto" w:sz="8" w:space="0"/>
              <w:right w:val="single" w:color="auto" w:sz="8" w:space="0"/>
            </w:tcBorders>
            <w:noWrap w:val="0"/>
            <w:tcMar>
              <w:left w:w="108" w:type="dxa"/>
              <w:right w:w="108" w:type="dxa"/>
            </w:tcMar>
            <w:vAlign w:val="center"/>
          </w:tcPr>
          <w:p>
            <w:pPr>
              <w:jc w:val="center"/>
              <w:rPr>
                <w:rFonts w:hint="eastAsia" w:ascii="宋体"/>
                <w:sz w:val="24"/>
                <w:szCs w:val="24"/>
                <w:lang w:val="en-US" w:eastAsia="zh-CN"/>
              </w:rPr>
            </w:pPr>
            <w:r>
              <w:rPr>
                <w:rFonts w:hint="eastAsia" w:ascii="宋体"/>
                <w:sz w:val="24"/>
                <w:szCs w:val="24"/>
                <w:lang w:val="en-US" w:eastAsia="zh-CN"/>
              </w:rPr>
              <w:t>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firstLine="640" w:firstLineChars="200"/>
        <w:jc w:val="both"/>
        <w:textAlignment w:val="auto"/>
        <w:rPr>
          <w:rFonts w:hint="eastAsia" w:ascii="黑体" w:hAnsi="黑体" w:eastAsia="黑体" w:cs="黑体"/>
          <w:i w:val="0"/>
          <w:caps w:val="0"/>
          <w:color w:val="000000"/>
          <w:spacing w:val="0"/>
          <w:sz w:val="32"/>
          <w:szCs w:val="32"/>
          <w:shd w:val="clear" w:fill="FFFFFF"/>
        </w:rPr>
      </w:pPr>
      <w:r>
        <w:rPr>
          <w:rFonts w:hint="eastAsia" w:ascii="黑体" w:hAnsi="黑体" w:eastAsia="黑体" w:cs="黑体"/>
          <w:i w:val="0"/>
          <w:caps w:val="0"/>
          <w:color w:val="000000"/>
          <w:spacing w:val="0"/>
          <w:sz w:val="32"/>
          <w:szCs w:val="32"/>
          <w:shd w:val="clear" w:fill="FFFFFF"/>
        </w:rPr>
        <w:t>五、存在的主要问题及改进情况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我县</w:t>
      </w:r>
      <w:r>
        <w:rPr>
          <w:rFonts w:hint="eastAsia" w:ascii="仿宋_GB2312" w:hAnsi="仿宋_GB2312" w:eastAsia="仿宋_GB2312" w:cs="仿宋_GB2312"/>
          <w:sz w:val="32"/>
          <w:szCs w:val="32"/>
        </w:rPr>
        <w:t>在推进政务公开工作中虽然做了大量工作，取得了一定成效，但在落实过程中还存在一些问题。</w:t>
      </w:r>
      <w:r>
        <w:rPr>
          <w:rFonts w:hint="eastAsia" w:ascii="仿宋_GB2312" w:hAnsi="仿宋_GB2312" w:eastAsia="仿宋_GB2312" w:cs="仿宋_GB2312"/>
          <w:b/>
          <w:bCs/>
          <w:sz w:val="32"/>
          <w:szCs w:val="32"/>
        </w:rPr>
        <w:t>一是</w:t>
      </w:r>
      <w:r>
        <w:rPr>
          <w:rFonts w:hint="eastAsia" w:ascii="仿宋_GB2312" w:hAnsi="仿宋_GB2312" w:eastAsia="仿宋_GB2312" w:cs="仿宋_GB2312"/>
          <w:sz w:val="32"/>
          <w:szCs w:val="32"/>
        </w:rPr>
        <w:t>政务信息还存在发布不及时的问题。在推进政务公开工作中，由于业务工作量较大，相对工作人员较少，影响到政务公开工作的落实，有时不能及时发布相关信息。</w:t>
      </w:r>
      <w:r>
        <w:rPr>
          <w:rFonts w:hint="eastAsia" w:ascii="仿宋_GB2312" w:hAnsi="仿宋_GB2312" w:eastAsia="仿宋_GB2312" w:cs="仿宋_GB2312"/>
          <w:b/>
          <w:bCs/>
          <w:sz w:val="32"/>
          <w:szCs w:val="32"/>
        </w:rPr>
        <w:t>二是</w:t>
      </w:r>
      <w:r>
        <w:rPr>
          <w:rFonts w:hint="eastAsia" w:ascii="仿宋_GB2312" w:hAnsi="仿宋_GB2312" w:eastAsia="仿宋_GB2312" w:cs="仿宋_GB2312"/>
          <w:sz w:val="32"/>
          <w:szCs w:val="32"/>
        </w:rPr>
        <w:t>政务公开工作制度坚持不够好。在发</w:t>
      </w:r>
      <w:r>
        <w:rPr>
          <w:rFonts w:hint="eastAsia" w:ascii="仿宋_GB2312" w:hAnsi="仿宋_GB2312" w:eastAsia="仿宋_GB2312" w:cs="仿宋_GB2312"/>
          <w:sz w:val="32"/>
          <w:szCs w:val="32"/>
          <w:lang w:val="en-US" w:eastAsia="zh-CN"/>
        </w:rPr>
        <w:t>布</w:t>
      </w:r>
      <w:r>
        <w:rPr>
          <w:rFonts w:hint="eastAsia" w:ascii="仿宋_GB2312" w:hAnsi="仿宋_GB2312" w:eastAsia="仿宋_GB2312" w:cs="仿宋_GB2312"/>
          <w:sz w:val="32"/>
          <w:szCs w:val="32"/>
        </w:rPr>
        <w:t>政务信息时，由于工作任务多，工作人员在发布信息后没能及时登记，信息发布登记制度落实不好。同时，有些需要紧急发布的常规信息，没能履行正常的保密审查手续。</w:t>
      </w:r>
      <w:r>
        <w:rPr>
          <w:rFonts w:hint="eastAsia" w:ascii="仿宋_GB2312" w:hAnsi="仿宋_GB2312" w:eastAsia="仿宋_GB2312" w:cs="仿宋_GB2312"/>
          <w:b/>
          <w:bCs/>
          <w:sz w:val="32"/>
          <w:szCs w:val="32"/>
        </w:rPr>
        <w:t>三是</w:t>
      </w:r>
      <w:r>
        <w:rPr>
          <w:rFonts w:hint="eastAsia" w:ascii="仿宋_GB2312" w:hAnsi="仿宋_GB2312" w:eastAsia="仿宋_GB2312" w:cs="仿宋_GB2312"/>
          <w:sz w:val="32"/>
          <w:szCs w:val="32"/>
        </w:rPr>
        <w:t>政务公开内容保障不力。各</w:t>
      </w:r>
      <w:r>
        <w:rPr>
          <w:rFonts w:hint="eastAsia" w:ascii="仿宋_GB2312" w:hAnsi="仿宋_GB2312" w:eastAsia="仿宋_GB2312" w:cs="仿宋_GB2312"/>
          <w:sz w:val="32"/>
          <w:szCs w:val="32"/>
          <w:lang w:val="en-US" w:eastAsia="zh-CN"/>
        </w:rPr>
        <w:t>乡镇、单位</w:t>
      </w:r>
      <w:r>
        <w:rPr>
          <w:rFonts w:hint="eastAsia" w:ascii="仿宋_GB2312" w:hAnsi="仿宋_GB2312" w:eastAsia="仿宋_GB2312" w:cs="仿宋_GB2312"/>
          <w:sz w:val="32"/>
          <w:szCs w:val="32"/>
        </w:rPr>
        <w:t>对政务公开工作意识不强，不能按时提供政务公开相关内容，影响到政务公开全面及时。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针对以上存在的问题，下一步，</w:t>
      </w:r>
      <w:r>
        <w:rPr>
          <w:rFonts w:hint="eastAsia" w:ascii="仿宋_GB2312" w:hAnsi="仿宋_GB2312" w:eastAsia="仿宋_GB2312" w:cs="仿宋_GB2312"/>
          <w:sz w:val="32"/>
          <w:szCs w:val="32"/>
          <w:lang w:val="en-US" w:eastAsia="zh-CN"/>
        </w:rPr>
        <w:t>根据</w:t>
      </w:r>
      <w:r>
        <w:rPr>
          <w:rFonts w:hint="eastAsia" w:ascii="仿宋_GB2312" w:hAnsi="仿宋_GB2312" w:eastAsia="仿宋_GB2312" w:cs="仿宋_GB2312"/>
          <w:sz w:val="32"/>
          <w:szCs w:val="32"/>
        </w:rPr>
        <w:t>政务公开工作各项要求，进一步整改落实。</w:t>
      </w:r>
      <w:r>
        <w:rPr>
          <w:rFonts w:hint="eastAsia" w:ascii="仿宋_GB2312" w:hAnsi="仿宋_GB2312" w:eastAsia="仿宋_GB2312" w:cs="仿宋_GB2312"/>
          <w:b/>
          <w:bCs/>
          <w:sz w:val="32"/>
          <w:szCs w:val="32"/>
        </w:rPr>
        <w:t>一是进一步强化组织领导。</w:t>
      </w:r>
      <w:r>
        <w:rPr>
          <w:rFonts w:hint="eastAsia" w:ascii="仿宋_GB2312" w:hAnsi="仿宋_GB2312" w:eastAsia="仿宋_GB2312" w:cs="仿宋_GB2312"/>
          <w:sz w:val="32"/>
          <w:szCs w:val="32"/>
        </w:rPr>
        <w:t>切实加强对政务公开工作的组织领导，坚持定期安排政务公开工作，反馈政务公开工作存在的问题。切实发挥政务公开工作办公室牵头作用，积极协调各</w:t>
      </w:r>
      <w:r>
        <w:rPr>
          <w:rFonts w:hint="eastAsia" w:ascii="仿宋_GB2312" w:hAnsi="仿宋_GB2312" w:eastAsia="仿宋_GB2312" w:cs="仿宋_GB2312"/>
          <w:sz w:val="32"/>
          <w:szCs w:val="32"/>
          <w:lang w:val="en-US" w:eastAsia="zh-CN"/>
        </w:rPr>
        <w:t>乡镇、</w:t>
      </w:r>
      <w:r>
        <w:rPr>
          <w:rFonts w:hint="eastAsia" w:ascii="仿宋_GB2312" w:hAnsi="仿宋_GB2312" w:eastAsia="仿宋_GB2312" w:cs="仿宋_GB2312"/>
          <w:sz w:val="32"/>
          <w:szCs w:val="32"/>
        </w:rPr>
        <w:t>单位落实好政务公开工作，及时公开信息，做到规定公开的全面公开。</w:t>
      </w:r>
      <w:r>
        <w:rPr>
          <w:rFonts w:hint="eastAsia" w:ascii="仿宋_GB2312" w:hAnsi="仿宋_GB2312" w:eastAsia="仿宋_GB2312" w:cs="仿宋_GB2312"/>
          <w:b/>
          <w:bCs/>
          <w:sz w:val="32"/>
          <w:szCs w:val="32"/>
          <w:lang w:val="en-US" w:eastAsia="zh-CN"/>
        </w:rPr>
        <w:t>二是</w:t>
      </w:r>
      <w:r>
        <w:rPr>
          <w:rFonts w:hint="eastAsia" w:ascii="仿宋_GB2312" w:hAnsi="仿宋_GB2312" w:eastAsia="仿宋_GB2312" w:cs="仿宋_GB2312"/>
          <w:b/>
          <w:bCs/>
          <w:sz w:val="32"/>
          <w:szCs w:val="32"/>
        </w:rPr>
        <w:t>加大主动公开的力度。</w:t>
      </w:r>
      <w:r>
        <w:rPr>
          <w:rFonts w:hint="eastAsia" w:ascii="仿宋_GB2312" w:hAnsi="仿宋_GB2312" w:eastAsia="仿宋_GB2312" w:cs="仿宋_GB2312"/>
          <w:sz w:val="32"/>
          <w:szCs w:val="32"/>
        </w:rPr>
        <w:t>落实《条例》和《办法》所规定的主动公开的内容，围绕</w:t>
      </w:r>
      <w:r>
        <w:rPr>
          <w:rFonts w:hint="eastAsia" w:ascii="仿宋_GB2312" w:hAnsi="仿宋_GB2312" w:eastAsia="仿宋_GB2312" w:cs="仿宋_GB2312"/>
          <w:sz w:val="32"/>
          <w:szCs w:val="32"/>
          <w:lang w:val="en-US" w:eastAsia="zh-CN"/>
        </w:rPr>
        <w:t>政务信息公开要点、</w:t>
      </w:r>
      <w:r>
        <w:rPr>
          <w:rFonts w:hint="eastAsia" w:ascii="仿宋_GB2312" w:hAnsi="仿宋_GB2312" w:eastAsia="仿宋_GB2312" w:cs="仿宋_GB2312"/>
          <w:sz w:val="32"/>
          <w:szCs w:val="32"/>
        </w:rPr>
        <w:t>公众广泛关注、事关公众利益的重大事项，进一步加大民生信息的公开力度、扩展主动公开范围。</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是进一步狠抓制度落实。</w:t>
      </w:r>
      <w:r>
        <w:rPr>
          <w:rFonts w:hint="eastAsia" w:ascii="仿宋_GB2312" w:hAnsi="仿宋_GB2312" w:eastAsia="仿宋_GB2312" w:cs="仿宋_GB2312"/>
          <w:sz w:val="32"/>
          <w:szCs w:val="32"/>
        </w:rPr>
        <w:t>不断完善政务公开信息保密审查制度，上网公开登记制度，落实公文公开标识属性，不断规范政务公开工作流程，做到上网信息必审查，公开信息必登记。</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是进一步加强平台建设。</w:t>
      </w:r>
      <w:r>
        <w:rPr>
          <w:rFonts w:hint="eastAsia" w:ascii="仿宋_GB2312" w:hAnsi="仿宋_GB2312" w:eastAsia="仿宋_GB2312" w:cs="仿宋_GB2312"/>
          <w:sz w:val="32"/>
          <w:szCs w:val="32"/>
        </w:rPr>
        <w:t>充分利用</w:t>
      </w:r>
      <w:r>
        <w:rPr>
          <w:rFonts w:hint="eastAsia" w:ascii="仿宋_GB2312" w:hAnsi="仿宋_GB2312" w:eastAsia="仿宋_GB2312" w:cs="仿宋_GB2312"/>
          <w:sz w:val="32"/>
          <w:szCs w:val="32"/>
          <w:lang w:val="en-US" w:eastAsia="zh-CN"/>
        </w:rPr>
        <w:t>县政府</w:t>
      </w:r>
      <w:r>
        <w:rPr>
          <w:rFonts w:hint="eastAsia" w:ascii="仿宋_GB2312" w:hAnsi="仿宋_GB2312" w:eastAsia="仿宋_GB2312" w:cs="仿宋_GB2312"/>
          <w:sz w:val="32"/>
          <w:szCs w:val="32"/>
        </w:rPr>
        <w:t>门户网站、微博、微信、媒体报刊等政务公开平台，逐步建立同步推送、各有侧重的政务信息公开机制，不断完善新闻发布公开、网络舆情回应机制，不断打造全方位多层次的政务公开平台。</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是进一步落实监督检查。</w:t>
      </w:r>
      <w:r>
        <w:rPr>
          <w:rFonts w:hint="eastAsia" w:ascii="仿宋_GB2312" w:hAnsi="仿宋_GB2312" w:eastAsia="仿宋_GB2312" w:cs="仿宋_GB2312"/>
          <w:sz w:val="32"/>
          <w:szCs w:val="32"/>
        </w:rPr>
        <w:t>切实加强对政务公开工作的监督检查，定期对各</w:t>
      </w:r>
      <w:r>
        <w:rPr>
          <w:rFonts w:hint="eastAsia" w:ascii="仿宋_GB2312" w:hAnsi="仿宋_GB2312" w:eastAsia="仿宋_GB2312" w:cs="仿宋_GB2312"/>
          <w:sz w:val="32"/>
          <w:szCs w:val="32"/>
          <w:lang w:val="en-US" w:eastAsia="zh-CN"/>
        </w:rPr>
        <w:t>乡镇</w:t>
      </w:r>
      <w:r>
        <w:rPr>
          <w:rFonts w:hint="eastAsia" w:ascii="仿宋_GB2312" w:hAnsi="仿宋_GB2312" w:eastAsia="仿宋_GB2312" w:cs="仿宋_GB2312"/>
          <w:sz w:val="32"/>
          <w:szCs w:val="32"/>
        </w:rPr>
        <w:t>、单位落实政务公开工作情况及</w:t>
      </w:r>
      <w:r>
        <w:rPr>
          <w:rFonts w:hint="eastAsia" w:ascii="仿宋_GB2312" w:hAnsi="仿宋_GB2312" w:eastAsia="仿宋_GB2312" w:cs="仿宋_GB2312"/>
          <w:sz w:val="32"/>
          <w:szCs w:val="32"/>
          <w:lang w:val="en-US" w:eastAsia="zh-CN"/>
        </w:rPr>
        <w:t>政府</w:t>
      </w:r>
      <w:r>
        <w:rPr>
          <w:rFonts w:hint="eastAsia" w:ascii="仿宋_GB2312" w:hAnsi="仿宋_GB2312" w:eastAsia="仿宋_GB2312" w:cs="仿宋_GB2312"/>
          <w:sz w:val="32"/>
          <w:szCs w:val="32"/>
        </w:rPr>
        <w:t>门户网站政务信息报送情况进行督查，并及时通报督查结果，督促各</w:t>
      </w:r>
      <w:r>
        <w:rPr>
          <w:rFonts w:hint="eastAsia" w:ascii="仿宋_GB2312" w:hAnsi="仿宋_GB2312" w:eastAsia="仿宋_GB2312" w:cs="仿宋_GB2312"/>
          <w:sz w:val="32"/>
          <w:szCs w:val="32"/>
          <w:lang w:val="en-US" w:eastAsia="zh-CN"/>
        </w:rPr>
        <w:t>乡镇、</w:t>
      </w:r>
      <w:r>
        <w:rPr>
          <w:rFonts w:hint="eastAsia" w:ascii="仿宋_GB2312" w:hAnsi="仿宋_GB2312" w:eastAsia="仿宋_GB2312" w:cs="仿宋_GB2312"/>
          <w:sz w:val="32"/>
          <w:szCs w:val="32"/>
        </w:rPr>
        <w:t>单位提高政务公开工作意识，深入推进政务公开工作。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firstLine="640" w:firstLineChars="200"/>
        <w:jc w:val="both"/>
        <w:textAlignment w:val="auto"/>
        <w:rPr>
          <w:rFonts w:hint="eastAsia" w:ascii="黑体" w:hAnsi="黑体" w:eastAsia="黑体" w:cs="黑体"/>
          <w:i w:val="0"/>
          <w:caps w:val="0"/>
          <w:color w:val="000000"/>
          <w:spacing w:val="0"/>
          <w:sz w:val="32"/>
          <w:szCs w:val="32"/>
          <w:shd w:val="clear" w:fill="FFFFFF"/>
        </w:rPr>
      </w:pPr>
      <w:r>
        <w:rPr>
          <w:rFonts w:hint="eastAsia" w:ascii="黑体" w:hAnsi="黑体" w:eastAsia="黑体" w:cs="黑体"/>
          <w:i w:val="0"/>
          <w:caps w:val="0"/>
          <w:color w:val="000000"/>
          <w:spacing w:val="0"/>
          <w:sz w:val="32"/>
          <w:szCs w:val="32"/>
          <w:shd w:val="clear" w:fill="FFFFFF"/>
        </w:rPr>
        <w:t>六、其他需要报告的事项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无其他需要报告的事项。</w:t>
      </w:r>
    </w:p>
    <w:p>
      <w:pPr>
        <w:pStyle w:val="2"/>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pStyle w:val="2"/>
        <w:ind w:firstLine="3840" w:firstLineChars="1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积石山县人民政府办公室</w:t>
      </w:r>
    </w:p>
    <w:p>
      <w:pPr>
        <w:pStyle w:val="2"/>
        <w:ind w:firstLine="4480" w:firstLineChars="1400"/>
        <w:rPr>
          <w:rFonts w:hint="default" w:ascii="仿宋_GB2312" w:hAnsi="仿宋_GB2312" w:eastAsia="仿宋_GB2312" w:cs="仿宋_GB2312"/>
          <w:sz w:val="32"/>
          <w:szCs w:val="32"/>
          <w:lang w:val="en-US" w:eastAsia="zh-CN"/>
        </w:rPr>
      </w:pPr>
      <w:bookmarkStart w:id="0" w:name="_GoBack"/>
      <w:bookmarkEnd w:id="0"/>
      <w:r>
        <w:rPr>
          <w:rFonts w:hint="eastAsia" w:ascii="仿宋_GB2312" w:hAnsi="仿宋_GB2312" w:eastAsia="仿宋_GB2312" w:cs="仿宋_GB2312"/>
          <w:sz w:val="32"/>
          <w:szCs w:val="32"/>
          <w:lang w:val="en-US" w:eastAsia="zh-CN"/>
        </w:rPr>
        <w:t>2021年2月9日</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Helvetica">
    <w:panose1 w:val="020B0504020202030204"/>
    <w:charset w:val="00"/>
    <w:family w:val="auto"/>
    <w:pitch w:val="default"/>
    <w:sig w:usb0="00000007" w:usb1="00000000" w:usb2="00000000" w:usb3="00000000" w:csb0="00000093"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RuS5b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ZG5Llt0CAAAmBgAADgAAAAAAAAABACAAAAAfAQAAZHJzL2Uyb0RvYy54bWxQSwUG&#10;AAAAAAYABgBZAQAAbgY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50E08"/>
    <w:rsid w:val="01817375"/>
    <w:rsid w:val="02A24383"/>
    <w:rsid w:val="03A95523"/>
    <w:rsid w:val="08F8649D"/>
    <w:rsid w:val="0F0A6FBD"/>
    <w:rsid w:val="172B638C"/>
    <w:rsid w:val="183C0712"/>
    <w:rsid w:val="19AA2356"/>
    <w:rsid w:val="1B1275B9"/>
    <w:rsid w:val="1D545C9C"/>
    <w:rsid w:val="22777EA0"/>
    <w:rsid w:val="25307BAA"/>
    <w:rsid w:val="27922438"/>
    <w:rsid w:val="27CA5330"/>
    <w:rsid w:val="28503633"/>
    <w:rsid w:val="2AFA66F5"/>
    <w:rsid w:val="2E5E1588"/>
    <w:rsid w:val="329E1BD8"/>
    <w:rsid w:val="34F2734D"/>
    <w:rsid w:val="36931087"/>
    <w:rsid w:val="3F476720"/>
    <w:rsid w:val="429273ED"/>
    <w:rsid w:val="4477015B"/>
    <w:rsid w:val="483A6B6B"/>
    <w:rsid w:val="48471C27"/>
    <w:rsid w:val="48EC6B3A"/>
    <w:rsid w:val="4BD45204"/>
    <w:rsid w:val="4FAC0D3A"/>
    <w:rsid w:val="55255BB5"/>
    <w:rsid w:val="554E2AB8"/>
    <w:rsid w:val="570E2BD4"/>
    <w:rsid w:val="5C746221"/>
    <w:rsid w:val="5E896BCF"/>
    <w:rsid w:val="5ECC42EF"/>
    <w:rsid w:val="6B813928"/>
    <w:rsid w:val="6D7B55C8"/>
    <w:rsid w:val="6F65386A"/>
    <w:rsid w:val="74FF3001"/>
    <w:rsid w:val="75302C88"/>
    <w:rsid w:val="78677827"/>
    <w:rsid w:val="793773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ody Text Indent 2"/>
    <w:basedOn w:val="1"/>
    <w:qFormat/>
    <w:uiPriority w:val="99"/>
    <w:pPr>
      <w:spacing w:line="480" w:lineRule="auto"/>
      <w:ind w:left="420" w:leftChars="200"/>
    </w:p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3165</Words>
  <Characters>3282</Characters>
  <Lines>0</Lines>
  <Paragraphs>0</Paragraphs>
  <TotalTime>24</TotalTime>
  <ScaleCrop>false</ScaleCrop>
  <LinksUpToDate>false</LinksUpToDate>
  <CharactersWithSpaces>3322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2021-02-09T05:34:56Z</dcterms:created>
  <dc:creator>Lenovo</dc:creator>
  <cp:lastModifiedBy>藤伊半卷</cp:lastModifiedBy>
  <cp:lastPrinted>2021-02-09T08:53:45Z</cp:lastPrinted>
  <dcterms:modified xsi:type="dcterms:W3CDTF">2021-02-09T08:53:49Z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